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r_good_killed_reuse-golden-good"/>
    <w:p>
      <w:pPr>
        <w:pStyle w:val="Heading1"/>
      </w:pPr>
      <w:r>
        <w:t xml:space="preserve">mr_good_killed_reuse (golden-good)</w:t>
      </w:r>
    </w:p>
    <w:p>
      <w:pPr>
        <w:pStyle w:val="FirstParagraph"/>
      </w:pPr>
      <w:r>
        <w:t xml:space="preserve">Everything (patch, gate script, observed inputs, tool versions) is byte-identical between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(verdict=KILLED) and the subsequent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DEC-23: a KILLED verdict under an unchanged key MUST be reused, never re-run.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HIT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2026-10-11T22:28:54Z</dcterms:created>
  <dcterms:modified xsi:type="dcterms:W3CDTF">2026-10-11T22:28:54Z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