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r_negctrl_mtime_only-negative-control"/>
    <w:p>
      <w:pPr>
        <w:pStyle w:val="Heading1"/>
      </w:pPr>
      <w:r>
        <w:t xml:space="preserve">mr_negctrl_mtime_only (negative control)</w:t>
      </w:r>
    </w:p>
    <w:p>
      <w:pPr>
        <w:pStyle w:val="FirstParagraph"/>
      </w:pPr>
      <w:r>
        <w:t xml:space="preserve">put and get carry the SAME observed_input.txt content-sha256 but DIFFERENT recorded_mtime timestamps. DEC-23's key formula (mirroring T051's VC-002) is content-addressed, not mtime-addressed -- an mtime-only difference must NOT force a re-run. Proves the key builder does not accidentally over-invalidate on a non-semantic field.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HIT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2026-10-11T22:28:55Z</dcterms:created>
  <dcterms:modified xsi:type="dcterms:W3CDTF">2026-10-11T22:28:55Z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