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baeba23d6a3fa274c522ed728c0f2602dde5bd9"/>
    <w:p>
      <w:pPr>
        <w:pStyle w:val="Heading1"/>
      </w:pPr>
      <w:r>
        <w:t xml:space="preserve">Fixture: plan_struct_causes / golden-bad-count-mismatch</w:t>
      </w:r>
    </w:p>
    <w:p>
      <w:pPr>
        <w:pStyle w:val="FirstParagraph"/>
      </w:pPr>
      <w:r>
        <w:t xml:space="preserve">Identical to the golden-good fixture (every Class cell and every last-column</w:t>
      </w:r>
      <w:r>
        <w:t xml:space="preserve"> </w:t>
      </w:r>
      <w:r>
        <w:t xml:space="preserve">cell populated, no per-row defect) except the §2.2 "Register counts" table</w:t>
      </w:r>
      <w:r>
        <w:t xml:space="preserve"> </w:t>
      </w:r>
      <w:r>
        <w:t xml:space="preserve">states CONFIRMED = 3 while §2.1 actually contains exactly 2 CONFIRMED rows</w:t>
      </w:r>
      <w:r>
        <w:t xml:space="preserve"> </w:t>
      </w:r>
      <w:r>
        <w:t xml:space="preserve">(RC-01, RC-02). Per contract plan-research-structural-check.md SC-C-001:</w:t>
      </w:r>
      <w:r>
        <w:t xml:space="preserve"> </w:t>
      </w:r>
      <w:r>
        <w:t xml:space="preserve">"the class counts equal research.md §2.2" -- this fixture makes them</w:t>
      </w:r>
      <w:r>
        <w:t xml:space="preserve"> </w:t>
      </w:r>
      <w:r>
        <w:t xml:space="preserve">disagree. Expected</w:t>
      </w:r>
      <w:r>
        <w:t xml:space="preserve"> </w:t>
      </w:r>
      <w:r>
        <w:rPr>
          <w:rStyle w:val="VerbatimChar"/>
        </w:rPr>
        <w:t xml:space="preserve">causes</w:t>
      </w:r>
      <w:r>
        <w:t xml:space="preserve"> </w:t>
      </w:r>
      <w:r>
        <w:t xml:space="preserve">verdict: exit 1, naming the CONFIRMED class</w:t>
      </w:r>
      <w:r>
        <w:t xml:space="preserve"> </w:t>
      </w:r>
      <w:r>
        <w:t xml:space="preserve">(stated 3, actual 2).</w:t>
      </w:r>
    </w:p>
    <w:bookmarkStart w:id="11" w:name="Xcfbe75b4470cebe6de85bf1e280dcacaae0657d"/>
    <w:p>
      <w:pPr>
        <w:pStyle w:val="Heading2"/>
      </w:pPr>
      <w:r>
        <w:t xml:space="preserve">2. Root-cause register</w:t>
      </w:r>
    </w:p>
    <w:bookmarkStart w:id="9" w:name="X47e6b1150c65f3c0f45c25453c97e12a1c801c9"/>
    <w:p>
      <w:pPr>
        <w:pStyle w:val="Heading3"/>
      </w:pPr>
      <w:r>
        <w:t xml:space="preserve">2.1 Register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Measured magnitude (named denominator)</w:t>
            </w:r>
          </w:p>
        </w:tc>
        <w:tc>
          <w:tcPr/>
          <w:p>
            <w:pPr>
              <w:pStyle w:val="Compact"/>
            </w:pPr>
            <w:r>
              <w:t xml:space="preserve">Share of total cycle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Settling evidence / what remains</w:t>
            </w:r>
          </w:p>
        </w:tc>
        <w:tc>
          <w:tcPr/>
          <w:p>
            <w:pPr>
              <w:pStyle w:val="Compact"/>
            </w:pPr>
            <w:r>
              <w:t xml:space="preserve">Removed / measured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RC-01</w:t>
            </w:r>
          </w:p>
        </w:tc>
        <w:tc>
          <w:tcPr/>
          <w:p>
            <w:pPr>
              <w:pStyle w:val="Compact"/>
            </w:pPr>
            <w:r>
              <w:t xml:space="preserve">Fixture cause one</w:t>
            </w:r>
          </w:p>
        </w:tc>
        <w:tc>
          <w:tcPr/>
          <w:p>
            <w:pPr>
              <w:pStyle w:val="Compact"/>
            </w:pPr>
            <w:r>
              <w:t xml:space="preserve">O1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1 of 1 fixture measurement</w:t>
            </w:r>
          </w:p>
        </w:tc>
        <w:tc>
          <w:tcPr/>
          <w:p>
            <w:pPr>
              <w:pStyle w:val="Compact"/>
            </w:pPr>
            <w:r>
              <w:t xml:space="preserve">UNMEASURED</w:t>
            </w:r>
          </w:p>
        </w:tc>
        <w:tc>
          <w:tcPr/>
          <w:p>
            <w:pPr>
              <w:pStyle w:val="Compact"/>
            </w:pPr>
            <w:r>
              <w:t xml:space="preserve">fixture evidence line one</w:t>
            </w:r>
          </w:p>
        </w:tc>
        <w:tc>
          <w:tcPr/>
          <w:p>
            <w:pPr>
              <w:pStyle w:val="Compact"/>
            </w:pPr>
            <w:r>
              <w:t xml:space="preserve">settling note (T-X01)</w:t>
            </w:r>
          </w:p>
        </w:tc>
        <w:tc>
          <w:tcPr/>
          <w:p>
            <w:pPr>
              <w:pStyle w:val="Compact"/>
            </w:pPr>
            <w:r>
              <w:t xml:space="preserve">T-X01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RC-02</w:t>
            </w:r>
          </w:p>
        </w:tc>
        <w:tc>
          <w:tcPr/>
          <w:p>
            <w:pPr>
              <w:pStyle w:val="Compact"/>
            </w:pPr>
            <w:r>
              <w:t xml:space="preserve">Fixture cause two</w:t>
            </w:r>
          </w:p>
        </w:tc>
        <w:tc>
          <w:tcPr/>
          <w:p>
            <w:pPr>
              <w:pStyle w:val="Compact"/>
            </w:pPr>
            <w:r>
              <w:t xml:space="preserve">O2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1 of 1 fixture measurement</w:t>
            </w:r>
          </w:p>
        </w:tc>
        <w:tc>
          <w:tcPr/>
          <w:p>
            <w:pPr>
              <w:pStyle w:val="Compact"/>
            </w:pPr>
            <w:r>
              <w:t xml:space="preserve">UNMEASURED</w:t>
            </w:r>
          </w:p>
        </w:tc>
        <w:tc>
          <w:tcPr/>
          <w:p>
            <w:pPr>
              <w:pStyle w:val="Compact"/>
            </w:pPr>
            <w:r>
              <w:t xml:space="preserve">fixture evidence line two</w:t>
            </w:r>
          </w:p>
        </w:tc>
        <w:tc>
          <w:tcPr/>
          <w:p>
            <w:pPr>
              <w:pStyle w:val="Compact"/>
            </w:pPr>
            <w:r>
              <w:t xml:space="preserve">settling note (T-X02)</w:t>
            </w:r>
          </w:p>
        </w:tc>
        <w:tc>
          <w:tcPr/>
          <w:p>
            <w:pPr>
              <w:pStyle w:val="Compact"/>
            </w:pPr>
            <w:r>
              <w:t xml:space="preserve">T-X02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RC-03</w:t>
            </w:r>
          </w:p>
        </w:tc>
        <w:tc>
          <w:tcPr/>
          <w:p>
            <w:pPr>
              <w:pStyle w:val="Compact"/>
            </w:pPr>
            <w:r>
              <w:t xml:space="preserve">Fixture cause three</w:t>
            </w:r>
          </w:p>
        </w:tc>
        <w:tc>
          <w:tcPr/>
          <w:p>
            <w:pPr>
              <w:pStyle w:val="Compact"/>
            </w:pPr>
            <w:r>
              <w:t xml:space="preserve">O3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REFUTED</w:t>
            </w:r>
          </w:p>
        </w:tc>
        <w:tc>
          <w:tcPr/>
          <w:p>
            <w:pPr>
              <w:pStyle w:val="Compact"/>
            </w:pPr>
            <w:r>
              <w:t xml:space="preserve">fixture refutation note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fixture evidence line three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T-X03 (verification only, no removal task needed)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RC-04</w:t>
            </w:r>
          </w:p>
        </w:tc>
        <w:tc>
          <w:tcPr/>
          <w:p>
            <w:pPr>
              <w:pStyle w:val="Compact"/>
            </w:pPr>
            <w:r>
              <w:t xml:space="preserve">Fixture cause four</w:t>
            </w:r>
          </w:p>
        </w:tc>
        <w:tc>
          <w:tcPr/>
          <w:p>
            <w:pPr>
              <w:pStyle w:val="Compact"/>
            </w:pPr>
            <w:r>
              <w:t xml:space="preserve">O4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UNDETERMINED</w:t>
            </w:r>
          </w:p>
        </w:tc>
        <w:tc>
          <w:tcPr/>
          <w:p>
            <w:pPr>
              <w:pStyle w:val="Compact"/>
            </w:pPr>
            <w:r>
              <w:t xml:space="preserve">fixture magnitude unmeasured</w:t>
            </w:r>
          </w:p>
        </w:tc>
        <w:tc>
          <w:tcPr/>
          <w:p>
            <w:pPr>
              <w:pStyle w:val="Compact"/>
            </w:pPr>
            <w:r>
              <w:t xml:space="preserve">UNMEASURED</w:t>
            </w:r>
          </w:p>
        </w:tc>
        <w:tc>
          <w:tcPr/>
          <w:p>
            <w:pPr>
              <w:pStyle w:val="Compact"/>
            </w:pPr>
            <w:r>
              <w:t xml:space="preserve">fixture evidence line four</w:t>
            </w:r>
          </w:p>
        </w:tc>
        <w:tc>
          <w:tcPr/>
          <w:p>
            <w:pPr>
              <w:pStyle w:val="Compact"/>
            </w:pPr>
            <w:r>
              <w:t xml:space="preserve">settling evidence needed (T-X04)</w:t>
            </w:r>
          </w:p>
        </w:tc>
        <w:tc>
          <w:tcPr/>
          <w:p>
            <w:pPr>
              <w:pStyle w:val="Compact"/>
            </w:pPr>
            <w:r>
              <w:t xml:space="preserve">T-X04</w:t>
            </w:r>
          </w:p>
        </w:tc>
      </w:tr>
    </w:tbl>
    <w:bookmarkEnd w:id="9"/>
    <w:bookmarkStart w:id="10" w:name="X258f9137df8983285f9b9979ad0497628f785ca"/>
    <w:p>
      <w:pPr>
        <w:pStyle w:val="Heading3"/>
      </w:pPr>
      <w:r>
        <w:t xml:space="preserve">2.2 Register counts (machine count over the Class column of §2.1)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  <w:tc>
          <w:tcPr/>
          <w:p>
            <w:pPr>
              <w:pStyle w:val="Compact"/>
            </w:pPr>
            <w:r>
              <w:t xml:space="preserve">Row 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RC-01, RC-02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REFUTED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RC-03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UNDETERMINED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RC-04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"/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2026-10-11T22:28:57Z</dcterms:created>
  <dcterms:modified xsi:type="dcterms:W3CDTF">2026-10-11T22:28:57Z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