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chanical-work-tools-114274"/>
    <w:p>
      <w:pPr>
        <w:pStyle w:val="Heading1"/>
      </w:pPr>
      <w:r>
        <w:t xml:space="preserve">Mechanical-work tools (§11.4.274)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 ·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2026-09-08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 use</w:t>
      </w:r>
    </w:p>
    <w:p>
      <w:pPr>
        <w:pStyle w:val="BodyText"/>
      </w:pPr>
      <w:r>
        <w:rPr>
          <w:b/>
          <w:bCs/>
        </w:rPr>
        <w:t xml:space="preserve">Rev 2 (2026-09-08)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census_query.sh</w:t>
      </w:r>
      <w:r>
        <w:t xml:space="preserve">, the general control-needled</w:t>
      </w:r>
      <w:r>
        <w:t xml:space="preserve"> </w:t>
      </w:r>
      <w:r>
        <w:t xml:space="preserve">census. The library already carried needle discipline in two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residue_scan.sh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anchor_census.sh</w:t>
      </w:r>
      <w:r>
        <w:t xml:space="preserve">), but neither is a general census and</w:t>
      </w:r>
      <w:r>
        <w:t xml:space="preserve"> </w:t>
      </w:r>
      <w:r>
        <w:rPr>
          <w:b/>
          <w:bCs/>
        </w:rPr>
        <w:t xml:space="preserve">neither takes a negative needle</w:t>
      </w:r>
      <w:r>
        <w:t xml:space="preserve">, so the too-broad half of §11.4.273 — a</w:t>
      </w:r>
      <w:r>
        <w:t xml:space="preserve"> </w:t>
      </w:r>
      <w:r>
        <w:t xml:space="preserve">pattern matching things it should not — had no mechanical guard anywhere. See</w:t>
      </w:r>
      <w:r>
        <w:t xml:space="preserve"> </w:t>
      </w:r>
      <w:r>
        <w:t xml:space="preserve">that tool's section below, and the task-oriented guide at</w:t>
      </w:r>
      <w:r>
        <w:t xml:space="preserve"> </w:t>
      </w:r>
      <w:r>
        <w:rPr>
          <w:rStyle w:val="VerbatimChar"/>
        </w:rPr>
        <w:t xml:space="preserve">constitution/docs/scripts/mechanical_tools.md</w:t>
      </w:r>
      <w:r>
        <w:t xml:space="preserve"> </w:t>
      </w:r>
      <w:r>
        <w:t xml:space="preserve">(§11.4.18).</w:t>
      </w:r>
    </w:p>
    <w:p>
      <w:pPr>
        <w:pStyle w:val="BodyText"/>
      </w:pPr>
      <w:r>
        <w:t xml:space="preserve">Six tools that execute the deterministic, decision-free loops an agent would</w:t>
      </w:r>
      <w:r>
        <w:t xml:space="preserve"> </w:t>
      </w:r>
      <w:r>
        <w:t xml:space="preserve">otherwise perform one tool call at a time. They are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(§11.4.177 / §11.4.28): invoke them from wherever the constitution submodule is</w:t>
      </w:r>
      <w:r>
        <w:t xml:space="preserve"> </w:t>
      </w:r>
      <w:r>
        <w:t xml:space="preserve">checked out; never copy them into a project, and never hardcode a project path</w:t>
      </w:r>
      <w:r>
        <w:t xml:space="preserve"> </w:t>
      </w:r>
      <w:r>
        <w:t xml:space="preserve">into them. Every tool takes its target from an argument.</w:t>
      </w:r>
    </w:p>
    <w:bookmarkStart w:id="9" w:name="why-these-six-exist"/>
    <w:p>
      <w:pPr>
        <w:pStyle w:val="Heading2"/>
      </w:pPr>
      <w:r>
        <w:t xml:space="preserve">Why these six exist</w:t>
      </w:r>
    </w:p>
    <w:p>
      <w:pPr>
        <w:pStyle w:val="FirstParagraph"/>
      </w:pPr>
      <w:r>
        <w:t xml:space="preserve">Each was extracted from a sequence observed being executed</w:t>
      </w:r>
      <w:r>
        <w:t xml:space="preserve"> </w:t>
      </w:r>
      <w:r>
        <w:rPr>
          <w:b/>
          <w:bCs/>
        </w:rPr>
        <w:t xml:space="preserve">by hand, more than</w:t>
      </w:r>
      <w:r>
        <w:rPr>
          <w:b/>
          <w:bCs/>
        </w:rPr>
        <w:t xml:space="preserve"> </w:t>
      </w:r>
      <w:r>
        <w:rPr>
          <w:b/>
          <w:bCs/>
        </w:rPr>
        <w:t xml:space="preserve">twice, in a single session</w:t>
      </w:r>
      <w:r>
        <w:t xml:space="preserve"> </w:t>
      </w:r>
      <w:r>
        <w:t xml:space="preserve">(§11.4.274(a)):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The loop it replaces</w:t>
            </w:r>
          </w:p>
        </w:tc>
        <w:tc>
          <w:tcPr/>
          <w:p>
            <w:pPr>
              <w:pStyle w:val="Compact"/>
            </w:pPr>
            <w:r>
              <w:t xml:space="preserve">Times done by 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mutation_harness.sh</w:t>
            </w:r>
          </w:p>
        </w:tc>
        <w:tc>
          <w:tcPr/>
          <w:p>
            <w:pPr>
              <w:pStyle w:val="Compact"/>
            </w:pPr>
            <w:r>
              <w:t xml:space="preserve">copy tree → mutate → run suite → read summary → restore → verify</w:t>
            </w:r>
          </w:p>
        </w:tc>
        <w:tc>
          <w:tcPr/>
          <w:p>
            <w:pPr>
              <w:pStyle w:val="Compact"/>
            </w:pPr>
            <w:r>
              <w:t xml:space="preserve">~35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census_query.sh</w:t>
            </w:r>
          </w:p>
        </w:tc>
        <w:tc>
          <w:tcPr/>
          <w:p>
            <w:pPr>
              <w:pStyle w:val="Compact"/>
            </w:pPr>
            <w:r>
              <w:t xml:space="preserve">count/grep → hand-check a positive needle → hand-check a negative → decide</w:t>
            </w:r>
          </w:p>
        </w:tc>
        <w:tc>
          <w:tcPr/>
          <w:p>
            <w:pPr>
              <w:pStyle w:val="Compact"/>
            </w:pPr>
            <w:r>
              <w:t xml:space="preserve">every census; 15 instrument errors when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suite_fanout.sh</w:t>
            </w:r>
          </w:p>
        </w:tc>
        <w:tc>
          <w:tcPr/>
          <w:p>
            <w:pPr>
              <w:pStyle w:val="Compact"/>
            </w:pPr>
            <w:r>
              <w:t xml:space="preserve">run N suites → tabulate → compare to last round</w:t>
            </w:r>
          </w:p>
        </w:tc>
        <w:tc>
          <w:tcPr/>
          <w:p>
            <w:pPr>
              <w:pStyle w:val="Compact"/>
            </w:pPr>
            <w:r>
              <w:t xml:space="preserve">repeatedly, per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residue_scan.sh</w:t>
            </w:r>
          </w:p>
        </w:tc>
        <w:tc>
          <w:tcPr/>
          <w:p>
            <w:pPr>
              <w:pStyle w:val="Compact"/>
            </w:pPr>
            <w:r>
              <w:t xml:space="preserve">grep for mutation markers, minus the self-reference noise</w:t>
            </w:r>
          </w:p>
        </w:tc>
        <w:tc>
          <w:tcPr/>
          <w:p>
            <w:pPr>
              <w:pStyle w:val="Compact"/>
            </w:pPr>
            <w:r>
              <w:t xml:space="preserve">every pre-commit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anchor_census.sh</w:t>
            </w:r>
          </w:p>
        </w:tc>
        <w:tc>
          <w:tcPr/>
          <w:p>
            <w:pPr>
              <w:pStyle w:val="Compact"/>
            </w:pPr>
            <w:r>
              <w:t xml:space="preserve">count anchors per carrier, compare the sets</w:t>
            </w:r>
          </w:p>
        </w:tc>
        <w:tc>
          <w:tcPr/>
          <w:p>
            <w:pPr>
              <w:pStyle w:val="Compact"/>
            </w:pPr>
            <w:r>
              <w:t xml:space="preserve">3 (2 of them with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await_condition.sh</w:t>
            </w:r>
          </w:p>
        </w:tc>
        <w:tc>
          <w:tcPr/>
          <w:p>
            <w:pPr>
              <w:pStyle w:val="Compact"/>
            </w:pPr>
            <w:r>
              <w:t xml:space="preserve">poll until a process/log condition holds, bounded</w:t>
            </w:r>
          </w:p>
        </w:tc>
        <w:tc>
          <w:tcPr/>
          <w:p>
            <w:pPr>
              <w:pStyle w:val="Compact"/>
            </w:pPr>
            <w:r>
              <w:t xml:space="preserve">3 ad-hoc rewrites</w:t>
            </w:r>
          </w:p>
        </w:tc>
      </w:tr>
    </w:tbl>
    <w:bookmarkEnd w:id="9"/>
    <w:bookmarkStart w:id="10" w:name="the-boundary-114274d"/>
    <w:p>
      <w:pPr>
        <w:pStyle w:val="Heading2"/>
      </w:pPr>
      <w:r>
        <w:t xml:space="preserve">The boundary (§11.4.274(d))</w:t>
      </w:r>
    </w:p>
    <w:p>
      <w:pPr>
        <w:pStyle w:val="FirstParagraph"/>
      </w:pPr>
      <w:r>
        <w:t xml:space="preserve">These tools</w:t>
      </w:r>
      <w:r>
        <w:t xml:space="preserve"> </w:t>
      </w:r>
      <w:r>
        <w:rPr>
          <w:b/>
          <w:bCs/>
        </w:rPr>
        <w:t xml:space="preserve">gather and execute</w:t>
      </w:r>
      <w:r>
        <w:t xml:space="preserve">. They do not decide. None of them determines a</w:t>
      </w:r>
      <w:r>
        <w:t xml:space="preserve"> </w:t>
      </w:r>
      <w:r>
        <w:t xml:space="preserve">root cause, renders a review verdict, judges whether a fix is correct, or reads</w:t>
      </w:r>
      <w:r>
        <w:t xml:space="preserve"> </w:t>
      </w:r>
      <w:r>
        <w:t xml:space="preserve">whether evidence supports a claim.</w:t>
      </w:r>
      <w:r>
        <w:t xml:space="preserve"> </w:t>
      </w:r>
      <w:r>
        <w:rPr>
          <w:rStyle w:val="VerbatimChar"/>
        </w:rPr>
        <w:t xml:space="preserve">mutation_harness.sh</w:t>
      </w:r>
      <w:r>
        <w:t xml:space="preserve"> </w:t>
      </w:r>
      <w:r>
        <w:t xml:space="preserve">reports that a suite</w:t>
      </w:r>
      <w:r>
        <w:t xml:space="preserve"> </w:t>
      </w:r>
      <w:r>
        <w:t xml:space="preserve">failed under a named edit — whether that means the gate is genuine is a judgment</w:t>
      </w:r>
      <w:r>
        <w:t xml:space="preserve"> </w:t>
      </w:r>
      <w:r>
        <w:t xml:space="preserve">for the reader. A script that rendered that verdict would be a bluff gate</w:t>
      </w:r>
      <w:r>
        <w:t xml:space="preserve"> </w:t>
      </w:r>
      <w:r>
        <w:t xml:space="preserve">(§11.4.201), which is the failure mode this constitution exists to prevent.</w:t>
      </w:r>
    </w:p>
    <w:bookmarkEnd w:id="10"/>
    <w:bookmarkStart w:id="11" w:name="Xe89093e8c294915c7d1164fc117e39e0afe407a"/>
    <w:p>
      <w:pPr>
        <w:pStyle w:val="Heading2"/>
      </w:pPr>
      <w:r>
        <w:t xml:space="preserve">Exit-code vocabulary — shared by every tool (§11.4.201)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operation</w:t>
            </w:r>
            <w:r>
              <w:t xml:space="preserve"> </w:t>
            </w:r>
            <w:r>
              <w:rPr>
                <w:b/>
                <w:bCs/>
              </w:rPr>
              <w:t xml:space="preserve">ran</w:t>
            </w:r>
            <w:r>
              <w:t xml:space="preserve"> </w:t>
            </w:r>
            <w:r>
              <w:t xml:space="preserve">and the outcome matched 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operation</w:t>
            </w:r>
            <w:r>
              <w:t xml:space="preserve"> </w:t>
            </w:r>
            <w:r>
              <w:rPr>
                <w:b/>
                <w:bCs/>
              </w:rPr>
              <w:t xml:space="preserve">ran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found something</w:t>
            </w:r>
            <w:r>
              <w:t xml:space="preserve"> </w:t>
            </w:r>
            <w:r>
              <w:t xml:space="preserve">(residue, drift, a violated expectation)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operation</w:t>
            </w:r>
            <w:r>
              <w:t xml:space="preserve"> </w:t>
            </w:r>
            <w:r>
              <w:rPr>
                <w:b/>
                <w:bCs/>
              </w:rPr>
              <w:t xml:space="preserve">could not run</w:t>
            </w:r>
            <w:r>
              <w:t xml:space="preserve"> </w:t>
            </w:r>
            <w:r>
              <w:t xml:space="preserve">— bad args, missing target, missing dependency, unparseable output, an instrument that cannot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bounded wait</w:t>
            </w:r>
            <w:r>
              <w:t xml:space="preserve"> </w:t>
            </w:r>
            <w:r>
              <w:rPr>
                <w:b/>
                <w:bCs/>
              </w:rPr>
              <w:t xml:space="preserve">expired</w:t>
            </w:r>
            <w:r>
              <w:t xml:space="preserve"> </w:t>
            </w:r>
            <w:r>
              <w:t xml:space="preserve">with the condition still false (</w:t>
            </w:r>
            <w:r>
              <w:rPr>
                <w:rStyle w:val="VerbatimChar"/>
              </w:rPr>
              <w:t xml:space="preserve">await_condition.sh</w:t>
            </w:r>
            <w:r>
              <w:t xml:space="preserve"> </w:t>
            </w:r>
            <w:r>
              <w:t xml:space="preserve">only)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are deliberately three different facts. "Found nothing", "found</w:t>
      </w:r>
      <w:r>
        <w:t xml:space="preserve"> </w:t>
      </w:r>
      <w:r>
        <w:t xml:space="preserve">something" and "could not look" are not interchangeable, and a tool that collapses</w:t>
      </w:r>
      <w:r>
        <w:t xml:space="preserve"> </w:t>
      </w:r>
      <w:r>
        <w:t xml:space="preserve">them turns a broken instrument into a clean bill of health.</w:t>
      </w:r>
    </w:p>
    <w:bookmarkEnd w:id="11"/>
    <w:bookmarkStart w:id="12" w:name="X8eb4103d5e72be46d4f834b45434f9cd0898dd2"/>
    <w:p>
      <w:pPr>
        <w:pStyle w:val="Heading2"/>
      </w:pPr>
      <w:r>
        <w:t xml:space="preserve">Control needles — how these tools avoid lying (§11.4.273)</w:t>
      </w:r>
    </w:p>
    <w:p>
      <w:pPr>
        <w:pStyle w:val="FirstParagraph"/>
      </w:pPr>
      <w:r>
        <w:t xml:space="preserve">Every tool that</w:t>
      </w:r>
      <w:r>
        <w:t xml:space="preserve"> </w:t>
      </w:r>
      <w:r>
        <w:rPr>
          <w:b/>
          <w:bCs/>
        </w:rPr>
        <w:t xml:space="preserve">measures</w:t>
      </w:r>
      <w:r>
        <w:t xml:space="preserve"> </w:t>
      </w:r>
      <w:r>
        <w:t xml:space="preserve">can prove it is able to measure: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residue_scan.sh --control-needle STR</w:t>
      </w:r>
      <w:r>
        <w:t xml:space="preserve"> </w:t>
      </w:r>
      <w:r>
        <w:t xml:space="preserve">— a string that must be findable in the</w:t>
      </w:r>
      <w:r>
        <w:t xml:space="preserve"> </w:t>
      </w:r>
      <w:r>
        <w:t xml:space="preserve">scanned tree. Not found ⇒ exit 2, because an empty result from a scan that</w:t>
      </w:r>
      <w:r>
        <w:t xml:space="preserve"> </w:t>
      </w:r>
      <w:r>
        <w:t xml:space="preserve">cannot see anything is not a clean result. The scan also refuses to report</w:t>
      </w:r>
      <w:r>
        <w:t xml:space="preserve"> </w:t>
      </w:r>
      <w:r>
        <w:rPr>
          <w:rStyle w:val="VerbatimChar"/>
        </w:rPr>
        <w:t xml:space="preserve">residue=0</w:t>
      </w:r>
      <w:r>
        <w:t xml:space="preserve"> </w:t>
      </w:r>
      <w:r>
        <w:t xml:space="preserve">when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file was excluded (</w:t>
      </w:r>
      <w:r>
        <w:rPr>
          <w:rStyle w:val="VerbatimChar"/>
        </w:rPr>
        <w:t xml:space="preserve">examined=0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anchor_census.sh --control-needle ID</w:t>
      </w:r>
      <w:r>
        <w:t xml:space="preserve"> </w:t>
      </w:r>
      <w:r>
        <w:t xml:space="preserve">— an anchor that must open a block in</w:t>
      </w:r>
      <w:r>
        <w:t xml:space="preserve"> </w:t>
      </w:r>
      <w:r>
        <w:t xml:space="preserve">every carrier. Zero anchors in any carrier is exit 2, never "all sets identical".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mutation_harness.sh</w:t>
      </w:r>
      <w:r>
        <w:t xml:space="preserve"> </w:t>
      </w:r>
      <w:r>
        <w:t xml:space="preserve">— a mutation whose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text is absent exits 2 rather</w:t>
      </w:r>
      <w:r>
        <w:t xml:space="preserve"> </w:t>
      </w:r>
      <w:r>
        <w:t xml:space="preserve">than reporting the suite result, because a result from an unapplied mutation</w:t>
      </w:r>
      <w:r>
        <w:t xml:space="preserve"> </w:t>
      </w:r>
      <w:r>
        <w:t xml:space="preserve">describes nothing.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census_query.sh --positive N --negative 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both mandatory</w:t>
      </w:r>
      <w:r>
        <w:t xml:space="preserve">, both</w:t>
      </w:r>
      <w:r>
        <w:t xml:space="preserve"> </w:t>
      </w:r>
      <w:r>
        <w:t xml:space="preserve">repeatable. A missing positive needle, or a</w:t>
      </w:r>
      <w:r>
        <w:t xml:space="preserve"> </w:t>
      </w:r>
      <w:r>
        <w:rPr>
          <w:i/>
          <w:iCs/>
        </w:rPr>
        <w:t xml:space="preserve">found</w:t>
      </w:r>
      <w:r>
        <w:t xml:space="preserve"> </w:t>
      </w:r>
      <w:r>
        <w:t xml:space="preserve">negative needle, exits 2</w:t>
      </w:r>
      <w:r>
        <w:t xml:space="preserve"> </w:t>
      </w:r>
      <w:r>
        <w:t xml:space="preserve">and the count is never printed. This is the only tool here carrying the</w:t>
      </w:r>
      <w:r>
        <w:t xml:space="preserve"> </w:t>
      </w:r>
      <w:r>
        <w:t xml:space="preserve">negative half; the other two prove they can see, not that they are not</w:t>
      </w:r>
      <w:r>
        <w:t xml:space="preserve"> </w:t>
      </w:r>
      <w:r>
        <w:t xml:space="preserve">over-matching.</w:t>
      </w:r>
    </w:p>
    <w:p>
      <w:pPr>
        <w:pStyle w:val="FirstParagraph"/>
      </w:pPr>
      <w:r>
        <w:t xml:space="preserve">Two real instrument defects were found this way while building the library, both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lib/mech_common.sh</w:t>
      </w:r>
      <w:r>
        <w:t xml:space="preserve">: GNU sed 4.9 did not interpret</w:t>
      </w:r>
      <w:r>
        <w:t xml:space="preserve"> </w:t>
      </w:r>
      <w:r>
        <w:rPr>
          <w:rStyle w:val="VerbatimChar"/>
        </w:rPr>
        <w:t xml:space="preserve">\x1b</w:t>
      </w:r>
      <w:r>
        <w:t xml:space="preserve">, and under</w:t>
      </w:r>
      <w:r>
        <w:t xml:space="preserve"> </w:t>
      </w:r>
      <w:r>
        <w:t xml:space="preserve">a UTF-8 locale the</w:t>
      </w:r>
      <w:r>
        <w:t xml:space="preserve"> </w:t>
      </w:r>
      <w:r>
        <w:rPr>
          <w:rStyle w:val="VerbatimChar"/>
        </w:rPr>
        <w:t xml:space="preserve">[@-~]</w:t>
      </w:r>
      <w:r>
        <w:t xml:space="preserve"> </w:t>
      </w:r>
      <w:r>
        <w:t xml:space="preserve">bracket range did not match what it appears to. Either</w:t>
      </w:r>
      <w:r>
        <w:t xml:space="preserve"> </w:t>
      </w:r>
      <w:r>
        <w:t xml:space="preserve">one silently disabled ANSI stripping, so every downstream parse ran against</w:t>
      </w:r>
      <w:r>
        <w:t xml:space="preserve"> </w:t>
      </w:r>
      <w:r>
        <w:t xml:space="preserve">coloured text.</w:t>
      </w:r>
    </w:p>
    <w:p>
      <w:r>
        <w:pict>
          <v:rect style="width:0;height:1.5pt" o:hralign="center" o:hrstd="t" o:hr="t"/>
        </w:pict>
      </w:r>
    </w:p>
    <w:bookmarkEnd w:id="12"/>
    <w:bookmarkStart w:id="16" w:name="mutation_harnesssh"/>
    <w:p>
      <w:pPr>
        <w:pStyle w:val="Heading2"/>
      </w:pPr>
      <w:r>
        <w:rPr>
          <w:rStyle w:val="VerbatimChar"/>
        </w:rPr>
        <w:t xml:space="preserve">mutation_harness.sh</w:t>
      </w:r>
    </w:p>
    <w:p>
      <w:pPr>
        <w:pStyle w:val="FirstParagraph"/>
      </w:pPr>
      <w:r>
        <w:t xml:space="preserve">Apply one named mutation to a scratch copy of a tree, run one suite, report the</w:t>
      </w:r>
      <w:r>
        <w:t xml:space="preserve"> </w:t>
      </w:r>
      <w:r>
        <w:t xml:space="preserve">counts, restore, and prove the original tree is byte-identical.</w:t>
      </w:r>
    </w:p>
    <w:p>
      <w:pPr>
        <w:pStyle w:val="SourceCode"/>
      </w:pPr>
      <w:r>
        <w:rPr>
          <w:rStyle w:val="ExtensionTok"/>
        </w:rPr>
        <w:t xml:space="preserve">mutation_harness.sh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--suite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[--name NAME]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[--file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literal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literal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[--expect pass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fail]</w:t>
      </w:r>
      <w:r>
        <w:rPr>
          <w:rStyle w:val="NormalTok"/>
        </w:rPr>
        <w:t xml:space="preserve"> [--env-knob NAME]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[--unset VAR]... [--timeout SECS] [--scratch DIR]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keep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Omit</w:t>
      </w:r>
      <w:r>
        <w:t xml:space="preserve"> </w:t>
      </w:r>
      <w:r>
        <w:rPr>
          <w:rStyle w:val="VerbatimChar"/>
        </w:rPr>
        <w:t xml:space="preserve">--file/--from/--to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run. Output is one verdict line:</w:t>
      </w:r>
    </w:p>
    <w:p>
      <w:pPr>
        <w:pStyle w:val="SourceCode"/>
      </w:pPr>
      <w:r>
        <w:rPr>
          <w:rStyle w:val="VerbatimChar"/>
        </w:rPr>
        <w:t xml:space="preserve">MUTATION &lt;name&gt;: EXPECTED-FAIL got &lt;n&gt; failed / &lt;m&gt; passed [OK|VIOLATION]</w:t>
      </w:r>
    </w:p>
    <w:bookmarkStart w:id="13" w:name="two-traps-it-is-built-around"/>
    <w:p>
      <w:pPr>
        <w:pStyle w:val="Heading3"/>
      </w:pPr>
      <w:r>
        <w:t xml:space="preserve">Two traps it is built around</w:t>
      </w:r>
    </w:p>
    <w:p>
      <w:pPr>
        <w:pStyle w:val="FirstParagraph"/>
      </w:pPr>
      <w:r>
        <w:rPr>
          <w:b/>
          <w:bCs/>
        </w:rPr>
        <w:t xml:space="preserve">The summary field order flips.</w:t>
      </w:r>
      <w:r>
        <w:t xml:space="preserve"> </w:t>
      </w:r>
      <w:r>
        <w:t xml:space="preserve">Harnesses print</w:t>
      </w:r>
      <w:r>
        <w:t xml:space="preserve"> </w:t>
      </w:r>
      <w:r>
        <w:rPr>
          <w:rStyle w:val="VerbatimChar"/>
        </w:rPr>
        <w:t xml:space="preserve">58 passed, 0 failed</w:t>
      </w:r>
      <w:r>
        <w:t xml:space="preserve"> </w:t>
      </w:r>
      <w:r>
        <w:t xml:space="preserve">on</w:t>
      </w:r>
      <w:r>
        <w:t xml:space="preserve"> </w:t>
      </w:r>
      <w:r>
        <w:t xml:space="preserve">success and</w:t>
      </w:r>
      <w:r>
        <w:t xml:space="preserve"> </w:t>
      </w:r>
      <w:r>
        <w:rPr>
          <w:rStyle w:val="VerbatimChar"/>
        </w:rPr>
        <w:t xml:space="preserve">23 failed, 35 passed</w:t>
      </w:r>
      <w:r>
        <w:t xml:space="preserve"> </w:t>
      </w:r>
      <w:r>
        <w:t xml:space="preserve">on failure — the fields swap. Positional</w:t>
      </w:r>
      <w:r>
        <w:t xml:space="preserve"> </w:t>
      </w:r>
      <w:r>
        <w:t xml:space="preserve">parsing reads a failing run as 23 passes. Each count is located by its own label.</w:t>
      </w:r>
    </w:p>
    <w:p>
      <w:pPr>
        <w:pStyle w:val="BodyText"/>
      </w:pPr>
      <w:r>
        <w:rPr>
          <w:b/>
          <w:bCs/>
        </w:rPr>
        <w:t xml:space="preserve">The wrong env knob returns a meaningless green.</w:t>
      </w:r>
      <w:r>
        <w:t xml:space="preserve"> </w:t>
      </w:r>
      <w:r>
        <w:t xml:space="preserve">Suites differ in which</w:t>
      </w:r>
      <w:r>
        <w:t xml:space="preserve"> </w:t>
      </w:r>
      <w:r>
        <w:t xml:space="preserve">variable redirects them at another tree. Setting a name the suite does not read</w:t>
      </w:r>
      <w:r>
        <w:t xml:space="preserve"> </w:t>
      </w:r>
      <w:r>
        <w:t xml:space="preserve">is not an error: the suite falls back to its own location and grades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tree. So by default the harness runs the suite</w:t>
      </w:r>
      <w:r>
        <w:t xml:space="preserve"> </w:t>
      </w:r>
      <w:r>
        <w:rPr>
          <w:b/>
          <w:bCs/>
        </w:rPr>
        <w:t xml:space="preserve">from the scratch copy</w:t>
      </w:r>
      <w:r>
        <w:t xml:space="preserve"> </w:t>
      </w:r>
      <w:r>
        <w:t xml:space="preserve">(no env</w:t>
      </w:r>
      <w:r>
        <w:t xml:space="preserve"> </w:t>
      </w:r>
      <w:r>
        <w:t xml:space="preserve">var involved), and</w:t>
      </w:r>
      <w:r>
        <w:t xml:space="preserve"> </w:t>
      </w:r>
      <w:r>
        <w:rPr>
          <w:rStyle w:val="VerbatimChar"/>
        </w:rPr>
        <w:t xml:space="preserve">--env-knob NAME</w:t>
      </w:r>
      <w:r>
        <w:t xml:space="preserve"> </w:t>
      </w:r>
      <w:r>
        <w:t xml:space="preserve">first asserts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literally appears in</w:t>
      </w:r>
      <w:r>
        <w:t xml:space="preserve"> </w:t>
      </w:r>
      <w:r>
        <w:t xml:space="preserve">the suite source, exiting 2 if it does not.</w:t>
      </w:r>
    </w:p>
    <w:bookmarkEnd w:id="13"/>
    <w:bookmarkStart w:id="14" w:name="X65110f3fa3b216481bc6a8d048b86faa3a73d00"/>
    <w:p>
      <w:pPr>
        <w:pStyle w:val="Heading3"/>
      </w:pPr>
      <w:r>
        <w:rPr>
          <w:rStyle w:val="VerbatimChar"/>
        </w:rPr>
        <w:t xml:space="preserve">--env-knob</w:t>
      </w:r>
      <w:r>
        <w:t xml:space="preserve"> </w:t>
      </w:r>
      <w:r>
        <w:t xml:space="preserve">writes into the ORIGINAL tree — know this before using it</w:t>
      </w:r>
    </w:p>
    <w:p>
      <w:pPr>
        <w:pStyle w:val="FirstParagraph"/>
      </w:pPr>
      <w:r>
        <w:t xml:space="preserve">The knob's premise is that the suite stays where it lives and is</w:t>
      </w:r>
      <w:r>
        <w:t xml:space="preserve"> </w:t>
      </w:r>
      <w:r>
        <w:rPr>
          <w:i/>
          <w:iCs/>
        </w:rPr>
        <w:t xml:space="preserve">pointed</w:t>
      </w:r>
      <w:r>
        <w:t xml:space="preserve"> </w:t>
      </w:r>
      <w:r>
        <w:t xml:space="preserve">elsewhere, so the suite process runs inside</w:t>
      </w:r>
      <w:r>
        <w:t xml:space="preserve"> </w:t>
      </w:r>
      <w:r>
        <w:rPr>
          <w:rStyle w:val="VerbatimChar"/>
        </w:rPr>
        <w:t xml:space="preserve">--tree</w:t>
      </w:r>
      <w:r>
        <w:t xml:space="preserve">. A suite that writes an</w:t>
      </w:r>
      <w:r>
        <w:t xml:space="preserve"> </w:t>
      </w:r>
      <w:r>
        <w:t xml:space="preserve">artifact beside itself — a regenerated proof file, a fixture, a cache — therefore</w:t>
      </w:r>
      <w:r>
        <w:t xml:space="preserve"> </w:t>
      </w:r>
      <w:r>
        <w:t xml:space="preserve">writes into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tree, not the copy. Measured 2026-09-08: an</w:t>
      </w:r>
      <w:r>
        <w:t xml:space="preserve"> </w:t>
      </w:r>
      <w:r>
        <w:t xml:space="preserve">env-knob run rewrote a tracked proof file in a repository under independent</w:t>
      </w:r>
      <w:r>
        <w:t xml:space="preserve"> </w:t>
      </w:r>
      <w:r>
        <w:t xml:space="preserve">review. The harness warns before the run, detects it after, refuses to report a</w:t>
      </w:r>
      <w:r>
        <w:t xml:space="preserve"> </w:t>
      </w:r>
      <w:r>
        <w:t xml:space="preserve">result, and</w:t>
      </w:r>
      <w:r>
        <w:t xml:space="preserve"> </w:t>
      </w:r>
      <w:r>
        <w:rPr>
          <w:b/>
          <w:bCs/>
        </w:rPr>
        <w:t xml:space="preserve">names the changed paths</w:t>
      </w:r>
      <w:r>
        <w:t xml:space="preserve"> </w:t>
      </w:r>
      <w:r>
        <w:t xml:space="preserve">so they can be restored:</w:t>
      </w:r>
    </w:p>
    <w:p>
      <w:pPr>
        <w:pStyle w:val="SourceCode"/>
      </w:pPr>
      <w:r>
        <w:rPr>
          <w:rStyle w:val="VerbatimChar"/>
        </w:rPr>
        <w:t xml:space="preserve">SOURCE-TREE MODIFIED: /path/to/tree (before=&lt;md5&gt; after=&lt;md5&gt;)</w:t>
      </w:r>
      <w:r>
        <w:br/>
      </w:r>
      <w:r>
        <w:rPr>
          <w:rStyle w:val="VerbatimChar"/>
        </w:rPr>
        <w:t xml:space="preserve">CHANGED PATHS (restore these):</w:t>
      </w:r>
      <w:r>
        <w:br/>
      </w:r>
      <w:r>
        <w:rPr>
          <w:rStyle w:val="VerbatimChar"/>
        </w:rPr>
        <w:t xml:space="preserve">  ./tests/proof/98-....txt</w:t>
      </w:r>
    </w:p>
    <w:p>
      <w:pPr>
        <w:pStyle w:val="FirstParagraph"/>
      </w:pPr>
      <w:r>
        <w:t xml:space="preserve">Prefer the default scratch-copy mode. Reach for</w:t>
      </w:r>
      <w:r>
        <w:t xml:space="preserve"> </w:t>
      </w:r>
      <w:r>
        <w:rPr>
          <w:rStyle w:val="VerbatimChar"/>
        </w:rPr>
        <w:t xml:space="preserve">--env-knob</w:t>
      </w:r>
      <w:r>
        <w:t xml:space="preserve"> </w:t>
      </w:r>
      <w:r>
        <w:t xml:space="preserve">only when the suite</w:t>
      </w:r>
      <w:r>
        <w:t xml:space="preserve"> </w:t>
      </w:r>
      <w:r>
        <w:t xml:space="preserve">genuinely cannot be run from a copy, and expect to restore afterwards.</w:t>
      </w:r>
    </w:p>
    <w:bookmarkEnd w:id="14"/>
    <w:bookmarkStart w:id="15" w:name="failure-paths-it-refuses-to-paper-over"/>
    <w:p>
      <w:pPr>
        <w:pStyle w:val="Heading3"/>
      </w:pPr>
      <w:r>
        <w:t xml:space="preserve">Failure paths it refuses to paper over</w:t>
      </w:r>
    </w:p>
    <w:p>
      <w:pPr>
        <w:pStyle w:val="FirstParagraph"/>
      </w:pPr>
      <w:r>
        <w:rPr>
          <w:rStyle w:val="VerbatimChar"/>
        </w:rPr>
        <w:t xml:space="preserve">--from</w:t>
      </w:r>
      <w:r>
        <w:t xml:space="preserve"> </w:t>
      </w:r>
      <w:r>
        <w:t xml:space="preserve">absent · suite output unparseable · suite timed out · source tree</w:t>
      </w:r>
      <w:r>
        <w:t xml:space="preserve"> </w:t>
      </w:r>
      <w:r>
        <w:t xml:space="preserve">changed during the run · restore not byte-identical. All exit 2. None is reported</w:t>
      </w:r>
      <w:r>
        <w:t xml:space="preserve"> </w:t>
      </w:r>
      <w:r>
        <w:t xml:space="preserve">as a suite result.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ensus_querysh"/>
    <w:p>
      <w:pPr>
        <w:pStyle w:val="Heading2"/>
      </w:pPr>
      <w:r>
        <w:rPr>
          <w:rStyle w:val="VerbatimChar"/>
        </w:rPr>
        <w:t xml:space="preserve">census_query.sh</w:t>
      </w:r>
    </w:p>
    <w:p>
      <w:pPr>
        <w:pStyle w:val="FirstParagraph"/>
      </w:pPr>
      <w:r>
        <w:t xml:space="preserve">Run a counting query that proves, in the same command and through the same</w:t>
      </w:r>
      <w:r>
        <w:t xml:space="preserve"> </w:t>
      </w:r>
      <w:r>
        <w:t xml:space="preserve">path, that it can tell PRESENT from ABSENT (§11.4.273).</w:t>
      </w:r>
    </w:p>
    <w:p>
      <w:pPr>
        <w:pStyle w:val="SourceCode"/>
      </w:pPr>
      <w:r>
        <w:rPr>
          <w:rStyle w:val="ExtensionTok"/>
        </w:rPr>
        <w:t xml:space="preserve">census_query.sh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ERE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--positive</w:t>
      </w:r>
      <w:r>
        <w:rPr>
          <w:rStyle w:val="NormalTok"/>
        </w:rPr>
        <w:t xml:space="preserve"> NEEDLE [--positive NEEDLE]...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--negative</w:t>
      </w:r>
      <w:r>
        <w:rPr>
          <w:rStyle w:val="NormalTok"/>
        </w:rPr>
        <w:t xml:space="preserve"> NEEDLE [--negative NEEDLE]...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[--include GLOB]... [--label NAME] [--expect-count N]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list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files</w:t>
      </w:r>
      <w:r>
        <w:rPr>
          <w:rStyle w:val="Preprocessor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CENSUS harness_in_docs: matches=0 files=0 positive=1/1 negative=0/1 [OK]</w:t>
      </w:r>
    </w:p>
    <w:p>
      <w:pPr>
        <w:pStyle w:val="FirstParagraph"/>
      </w:pPr>
      <w:r>
        <w:t xml:space="preserve">The two control counts are published on the verdict line, so a reader can see</w:t>
      </w:r>
      <w:r>
        <w:t xml:space="preserve"> </w:t>
      </w:r>
      <w:r>
        <w:t xml:space="preserve">the discipline ran rather than take it on trust. That zero is trustworthy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rPr>
          <w:rStyle w:val="VerbatimChar"/>
        </w:rPr>
        <w:t xml:space="preserve">positive=1/1</w:t>
      </w:r>
      <w:r>
        <w:t xml:space="preserve"> </w:t>
      </w:r>
      <w:r>
        <w:t xml:space="preserve">says a known-present value was found through this exact</w:t>
      </w:r>
      <w:r>
        <w:t xml:space="preserve"> </w:t>
      </w:r>
      <w:r>
        <w:t xml:space="preserve">query path; without it, an honest zero and a broken grep are the same output.</w:t>
      </w:r>
    </w:p>
    <w:p>
      <w:pPr>
        <w:pStyle w:val="BodyText"/>
      </w:pPr>
      <w:r>
        <w:rPr>
          <w:b/>
          <w:bCs/>
        </w:rPr>
        <w:t xml:space="preserve">Needles are ERE, not literal — deliberately.</w:t>
      </w:r>
      <w:r>
        <w:t xml:space="preserve"> </w:t>
      </w:r>
      <w:r>
        <w:t xml:space="preserve">They run through the same</w:t>
      </w:r>
      <w:r>
        <w:t xml:space="preserve"> </w:t>
      </w:r>
      <w:r>
        <w:t xml:space="preserve">matcher as the query, because a control taking a different code path would not</w:t>
      </w:r>
      <w:r>
        <w:t xml:space="preserve"> </w:t>
      </w:r>
      <w:r>
        <w:t xml:space="preserve">prove the query's path can see. Escape metacharacters yourself.</w:t>
      </w:r>
    </w:p>
    <w:bookmarkStart w:id="17" w:name="X51729cb9039245462a69c7b236dd2d57f207ddb"/>
    <w:p>
      <w:pPr>
        <w:pStyle w:val="Heading3"/>
      </w:pPr>
      <w:r>
        <w:t xml:space="preserve">Three refusals, and why each is its own message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needle absent from the tree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 CONTROL FAILED … the instrument cannot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needle present but outside</w:t>
            </w:r>
            <w:r>
              <w:t xml:space="preserve"> </w:t>
            </w:r>
            <w:r>
              <w:rPr>
                <w:rStyle w:val="VerbatimChar"/>
              </w:rPr>
              <w:t xml:space="preserve">--include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 CONTROL OUT OF SCOPE … the CONTROL is misplaced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needle found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 CONTROL FAILED … matches things it must not</w:t>
            </w:r>
          </w:p>
        </w:tc>
      </w:tr>
    </w:tbl>
    <w:p>
      <w:pPr>
        <w:pStyle w:val="BodyText"/>
      </w:pPr>
      <w:r>
        <w:t xml:space="preserve">The middle row exists because the two look identical from a bare exit code and</w:t>
      </w:r>
      <w:r>
        <w:t xml:space="preserve"> </w:t>
      </w:r>
      <w:r>
        <w:t xml:space="preserve">have opposite fixes — move the control, or fix the query. Measured during the</w:t>
      </w:r>
      <w:r>
        <w:t xml:space="preserve"> </w:t>
      </w:r>
      <w:r>
        <w:t xml:space="preserve">Phase 0 research that produced this tool: an out-of-scope control reported a</w:t>
      </w:r>
      <w:r>
        <w:t xml:space="preserve"> </w:t>
      </w:r>
      <w:r>
        <w:t xml:space="preserve">working instrument as broken.</w:t>
      </w:r>
    </w:p>
    <w:p>
      <w:pPr>
        <w:pStyle w:val="BodyText"/>
      </w:pPr>
      <w:r>
        <w:t xml:space="preserve">Controls are repeatable and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member must hold (§11.4.273(f)): searching</w:t>
      </w:r>
      <w:r>
        <w:t xml:space="preserve"> </w:t>
      </w:r>
      <w:r>
        <w:t xml:space="preserve">a two-literal denylist with one literal passes both controls while the answer is</w:t>
      </w:r>
      <w:r>
        <w:t xml:space="preserve"> </w:t>
      </w:r>
      <w:r>
        <w:t xml:space="preserve">wrong, and did — reporting a live credential eliminated while it was still</w:t>
      </w:r>
      <w:r>
        <w:t xml:space="preserve"> </w:t>
      </w:r>
      <w:r>
        <w:t xml:space="preserve">present in four copy-pasteable lines per file.</w:t>
      </w:r>
    </w:p>
    <w:p>
      <w:pPr>
        <w:pStyle w:val="BodyText"/>
      </w:pPr>
      <w:r>
        <w:rPr>
          <w:rStyle w:val="VerbatimChar"/>
        </w:rPr>
        <w:t xml:space="preserve">--expect-count N</w:t>
      </w:r>
      <w:r>
        <w:t xml:space="preserve"> </w:t>
      </w:r>
      <w:r>
        <w:t xml:space="preserve">mismatch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 finding) and still prints the measured</w:t>
      </w:r>
      <w:r>
        <w:t xml:space="preserve"> </w:t>
      </w:r>
      <w:r>
        <w:t xml:space="preserve">count, which is a different fact from the instrument failing to measure (</w:t>
      </w:r>
      <w:r>
        <w:rPr>
          <w:rStyle w:val="VerbatimChar"/>
        </w:rPr>
        <w:t xml:space="preserve">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uite_fanoutsh"/>
    <w:p>
      <w:pPr>
        <w:pStyle w:val="Heading2"/>
      </w:pPr>
      <w:r>
        <w:rPr>
          <w:rStyle w:val="VerbatimChar"/>
        </w:rPr>
        <w:t xml:space="preserve">suite_fanout.sh</w:t>
      </w:r>
    </w:p>
    <w:p>
      <w:pPr>
        <w:pStyle w:val="SourceCode"/>
      </w:pPr>
      <w:r>
        <w:rPr>
          <w:rStyle w:val="ExtensionTok"/>
        </w:rPr>
        <w:t xml:space="preserve">suite_fanout.sh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[--baseline FILE] [--out FILE]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[--timeout SECS] [--unset VAR]... SUITE_REL...</w:t>
      </w:r>
      <w:r>
        <w:br/>
      </w:r>
      <w:r>
        <w:rPr>
          <w:rStyle w:val="ExtensionTok"/>
        </w:rPr>
        <w:t xml:space="preserve">suite_fanout.sh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--suites-from LIST_FILE ...</w:t>
      </w:r>
    </w:p>
    <w:p>
      <w:pPr>
        <w:pStyle w:val="FirstParagraph"/>
      </w:pPr>
      <w:r>
        <w:t xml:space="preserve">Runs each suite, tabulates</w:t>
      </w:r>
      <w:r>
        <w:t xml:space="preserve"> </w:t>
      </w:r>
      <w:r>
        <w:rPr>
          <w:rStyle w:val="VerbatimChar"/>
        </w:rPr>
        <w:t xml:space="preserve">rc / passed / failed</w:t>
      </w:r>
      <w:r>
        <w:t xml:space="preserve">, writes a TSV usable as the</w:t>
      </w:r>
      <w:r>
        <w:t xml:space="preserve"> </w:t>
      </w:r>
      <w:r>
        <w:t xml:space="preserve">next baseline, and with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prints only what moved: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(in baseline, not run) and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(run, absent from baseline). A suite</w:t>
      </w:r>
      <w:r>
        <w:t xml:space="preserve"> </w:t>
      </w:r>
      <w:r>
        <w:t xml:space="preserve">that timed out or produced no parseable summary makes the whole run exit 2 — it</w:t>
      </w:r>
      <w:r>
        <w:t xml:space="preserve"> </w:t>
      </w:r>
      <w:r>
        <w:t xml:space="preserve">is never tabulated as a pass.</w:t>
      </w:r>
    </w:p>
    <w:p>
      <w:r>
        <w:pict>
          <v:rect style="width:0;height:1.5pt" o:hralign="center" o:hrstd="t" o:hr="t"/>
        </w:pict>
      </w:r>
    </w:p>
    <w:bookmarkEnd w:id="19"/>
    <w:bookmarkStart w:id="20" w:name="residue_scansh"/>
    <w:p>
      <w:pPr>
        <w:pStyle w:val="Heading2"/>
      </w:pPr>
      <w:r>
        <w:rPr>
          <w:rStyle w:val="VerbatimChar"/>
        </w:rPr>
        <w:t xml:space="preserve">residue_scan.sh</w:t>
      </w:r>
    </w:p>
    <w:p>
      <w:pPr>
        <w:pStyle w:val="SourceCode"/>
      </w:pPr>
      <w:r>
        <w:rPr>
          <w:rStyle w:val="ExtensionTok"/>
        </w:rPr>
        <w:t xml:space="preserve">residue_scan.sh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[--marker STR]... [--markers-from FILE]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[--allow GLOB]... [--allow-from FILE]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strict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allow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[--control-needle STR]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default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markers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Scans for §11.4.84 mutation residue. Default markers:</w:t>
      </w:r>
      <w:r>
        <w:t xml:space="preserve"> </w:t>
      </w:r>
      <w:r>
        <w:rPr>
          <w:rStyle w:val="VerbatimChar"/>
        </w:rPr>
        <w:t xml:space="preserve">MUTATED for paired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// always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# always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MUTATION-MARKER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_mutated_</w:t>
      </w:r>
      <w:r>
        <w:t xml:space="preserve">,</w:t>
      </w:r>
      <w:r>
        <w:t xml:space="preserve"> </w:t>
      </w:r>
      <w:r>
        <w:rPr>
          <w:rStyle w:val="VerbatimChar"/>
        </w:rPr>
        <w:t xml:space="preserve">XXX-MUTATION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Self-reference is handled as data, not as a hardcoded exception.</w:t>
      </w:r>
      <w:r>
        <w:t xml:space="preserve"> </w:t>
      </w:r>
      <w:r>
        <w:t xml:space="preserve">A file may</w:t>
      </w:r>
      <w:r>
        <w:t xml:space="preserve"> </w:t>
      </w:r>
      <w:r>
        <w:t xml:space="preserve">legitimately contain a marker because it</w:t>
      </w:r>
      <w:r>
        <w:t xml:space="preserve"> </w:t>
      </w:r>
      <w:r>
        <w:rPr>
          <w:i/>
          <w:iCs/>
        </w:rPr>
        <w:t xml:space="preserve">defines</w:t>
      </w:r>
      <w:r>
        <w:t xml:space="preserve"> </w:t>
      </w:r>
      <w:r>
        <w:t xml:space="preserve">the marker (a rule, a manual,</w:t>
      </w:r>
      <w:r>
        <w:t xml:space="preserve"> </w:t>
      </w:r>
      <w:r>
        <w:t xml:space="preserve">this scanner) or</w:t>
      </w:r>
      <w:r>
        <w:t xml:space="preserve"> </w:t>
      </w:r>
      <w:r>
        <w:rPr>
          <w:i/>
          <w:iCs/>
        </w:rPr>
        <w:t xml:space="preserve">plants</w:t>
      </w:r>
      <w:r>
        <w:t xml:space="preserve"> </w:t>
      </w:r>
      <w:r>
        <w:t xml:space="preserve">one on purpose (a mutation test). Which files those are</w:t>
      </w:r>
      <w:r>
        <w:t xml:space="preserve"> </w:t>
      </w:r>
      <w:r>
        <w:t xml:space="preserve">is a project fact, so they go in an allowlist —</w:t>
      </w:r>
      <w:r>
        <w:t xml:space="preserve"> </w:t>
      </w:r>
      <w:r>
        <w:rPr>
          <w:rStyle w:val="VerbatimChar"/>
        </w:rPr>
        <w:t xml:space="preserve">--allow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--allow-from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.mech-residue-allow</w:t>
      </w:r>
      <w:r>
        <w:t xml:space="preserve"> </w:t>
      </w:r>
      <w:r>
        <w:t xml:space="preserve">file in the scanned tree. Only this tool's own directory is</w:t>
      </w:r>
      <w:r>
        <w:t xml:space="preserve"> </w:t>
      </w:r>
      <w:r>
        <w:t xml:space="preserve">auto-excluded, and the count is published as</w:t>
      </w:r>
      <w:r>
        <w:t xml:space="preserve"> </w:t>
      </w:r>
      <w:r>
        <w:rPr>
          <w:rStyle w:val="VerbatimChar"/>
        </w:rPr>
        <w:t xml:space="preserve">self_excluded=N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allowlist is audited in turn.</w:t>
      </w:r>
      <w:r>
        <w:t xml:space="preserve"> </w:t>
      </w:r>
      <w:r>
        <w:t xml:space="preserve">Patterns matching nothing are reported as</w:t>
      </w:r>
      <w:r>
        <w:t xml:space="preserve"> </w:t>
      </w:r>
      <w:r>
        <w:rPr>
          <w:rStyle w:val="VerbatimChar"/>
        </w:rPr>
        <w:t xml:space="preserve">STALE-ALLOW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--strict-allow</w:t>
      </w:r>
      <w:r>
        <w:t xml:space="preserve"> </w:t>
      </w:r>
      <w:r>
        <w:t xml:space="preserve">makes them a finding — so an allowlist cannot</w:t>
      </w:r>
      <w:r>
        <w:t xml:space="preserve"> </w:t>
      </w:r>
      <w:r>
        <w:t xml:space="preserve">quietly grow until it disables the scan.</w:t>
      </w:r>
    </w:p>
    <w:p>
      <w:r>
        <w:pict>
          <v:rect style="width:0;height:1.5pt" o:hralign="center" o:hrstd="t" o:hr="t"/>
        </w:pict>
      </w:r>
    </w:p>
    <w:bookmarkEnd w:id="20"/>
    <w:bookmarkStart w:id="22" w:name="anchor_censussh"/>
    <w:p>
      <w:pPr>
        <w:pStyle w:val="Heading2"/>
      </w:pPr>
      <w:r>
        <w:rPr>
          <w:rStyle w:val="VerbatimChar"/>
        </w:rPr>
        <w:t xml:space="preserve">anchor_census.sh</w:t>
      </w:r>
    </w:p>
    <w:p>
      <w:pPr>
        <w:pStyle w:val="SourceCode"/>
      </w:pPr>
      <w:r>
        <w:rPr>
          <w:rStyle w:val="ExtensionTok"/>
        </w:rPr>
        <w:t xml:space="preserve">anchor_census.sh</w:t>
      </w:r>
      <w:r>
        <w:rPr>
          <w:rStyle w:val="NormalTok"/>
        </w:rPr>
        <w:t xml:space="preserve"> [--opener-re ERE] [--id-re ERE] [--control-needle ID]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quiet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CARRIER...</w:t>
      </w:r>
    </w:p>
    <w:p>
      <w:pPr>
        <w:pStyle w:val="FirstParagraph"/>
      </w:pPr>
      <w:r>
        <w:t xml:space="preserve">Counts anchors that</w:t>
      </w:r>
      <w:r>
        <w:t xml:space="preserve"> </w:t>
      </w:r>
      <w:r>
        <w:rPr>
          <w:b/>
          <w:bCs/>
        </w:rPr>
        <w:t xml:space="preserve">open a block</w:t>
      </w:r>
      <w:r>
        <w:t xml:space="preserve">, not anchors that are merely mentioned — a</w:t>
      </w:r>
      <w:r>
        <w:t xml:space="preserve"> </w:t>
      </w:r>
      <w:r>
        <w:t xml:space="preserve">carrier cites far more than it declares. Both live opener shapes are matched by</w:t>
      </w:r>
      <w:r>
        <w:t xml:space="preserve"> </w:t>
      </w: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^### §11.4.N …      canonical constitution heading</w:t>
      </w:r>
      <w:r>
        <w:br/>
      </w:r>
      <w:r>
        <w:rPr>
          <w:rStyle w:val="VerbatimChar"/>
        </w:rPr>
        <w:t xml:space="preserve">^**§11.4.N …        consumer-carrier bolded opener</w:t>
      </w:r>
    </w:p>
    <w:p>
      <w:pPr>
        <w:pStyle w:val="FirstParagraph"/>
      </w:pPr>
      <w:r>
        <w:t xml:space="preserve">Verifies no id opens two blocks in one carrier (§11.4.227(B)) and that every</w:t>
      </w:r>
      <w:r>
        <w:t xml:space="preserve"> </w:t>
      </w:r>
      <w:r>
        <w:t xml:space="preserve">carrier holds the same set (§11.4.157), printing</w:t>
      </w:r>
      <w:r>
        <w:t xml:space="preserve"> </w:t>
      </w:r>
      <w:r>
        <w:rPr>
          <w:rStyle w:val="VerbatimChar"/>
        </w:rPr>
        <w:t xml:space="preserve">only-in &lt;file&gt;: &lt;id&gt;</w:t>
      </w:r>
      <w:r>
        <w:t xml:space="preserve"> </w:t>
      </w:r>
      <w:r>
        <w:t xml:space="preserve">for each</w:t>
      </w:r>
      <w:r>
        <w:t xml:space="preserve"> </w:t>
      </w:r>
      <w:r>
        <w:t xml:space="preserve">difference. Zero anchors anywhere is exit 2.</w:t>
      </w:r>
    </w:p>
    <w:p>
      <w:pPr>
        <w:pStyle w:val="BodyText"/>
      </w:pPr>
      <w:r>
        <w:t xml:space="preserve">The id is taken from the</w:t>
      </w:r>
      <w:r>
        <w:t xml:space="preserve"> </w:t>
      </w:r>
      <w:r>
        <w:rPr>
          <w:b/>
          <w:bCs/>
        </w:rPr>
        <w:t xml:space="preserve">opener match</w:t>
      </w:r>
      <w:r>
        <w:t xml:space="preserve">, not from the whole line, because a</w:t>
      </w:r>
      <w:r>
        <w:t xml:space="preserve"> </w:t>
      </w:r>
      <w:r>
        <w:t xml:space="preserve">heading routinely cites other anchors after its own. (Measured 2026-09-08 before</w:t>
      </w:r>
      <w:r>
        <w:t xml:space="preserve"> </w:t>
      </w:r>
      <w:r>
        <w:t xml:space="preserve">that was fixed: the canonical constitution reported 900 "anchors" and a wall of</w:t>
      </w:r>
      <w:r>
        <w:t xml:space="preserve"> </w:t>
      </w:r>
      <w:r>
        <w:t xml:space="preserve">phantom duplicates, from 271 real openers.)</w:t>
      </w:r>
    </w:p>
    <w:bookmarkStart w:id="21" w:name="Xe2e2137e27a2b0d455e0a9085fa3fe02ff8ce38"/>
    <w:p>
      <w:pPr>
        <w:pStyle w:val="Heading3"/>
      </w:pPr>
      <w:r>
        <w:t xml:space="preserve">Choosing</w:t>
      </w:r>
      <w:r>
        <w:t xml:space="preserve"> </w:t>
      </w:r>
      <w:r>
        <w:rPr>
          <w:rStyle w:val="VerbatimChar"/>
        </w:rPr>
        <w:t xml:space="preserve">--opener-re</w:t>
      </w:r>
      <w:r>
        <w:t xml:space="preserve"> </w:t>
      </w:r>
      <w:r>
        <w:t xml:space="preserve">per carrier class — read this before believing a result</w:t>
      </w:r>
    </w:p>
    <w:p>
      <w:pPr>
        <w:pStyle w:val="FirstParagraph"/>
      </w:pPr>
      <w:r>
        <w:t xml:space="preserve">The two default shapes are matched together, which is right when comparing a set</w:t>
      </w:r>
      <w:r>
        <w:t xml:space="preserve"> </w:t>
      </w:r>
      <w:r>
        <w:t xml:space="preserve">of consumer carriers but</w:t>
      </w:r>
      <w:r>
        <w:t xml:space="preserve"> </w:t>
      </w:r>
      <w:r>
        <w:rPr>
          <w:b/>
          <w:bCs/>
        </w:rPr>
        <w:t xml:space="preserve">over-broad on the canonical constitution</w:t>
      </w:r>
      <w:r>
        <w:t xml:space="preserve">, where a</w:t>
      </w:r>
      <w:r>
        <w:t xml:space="preserve"> </w:t>
      </w:r>
      <w:r>
        <w:t xml:space="preserve">bolded paragraph opener (</w:t>
      </w:r>
      <w:r>
        <w:rPr>
          <w:rStyle w:val="VerbatimChar"/>
        </w:rPr>
        <w:t xml:space="preserve">**§11.4.30 carve-out.**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**§11.4.93 amendment.**</w:t>
      </w:r>
      <w:r>
        <w:t xml:space="preserve">) is</w:t>
      </w:r>
      <w:r>
        <w:t xml:space="preserve"> </w:t>
      </w:r>
      <w:r>
        <w:t xml:space="preserve">a cross-reference and not a declaration. Narrow it:</w:t>
      </w:r>
    </w:p>
    <w:p>
      <w:pPr>
        <w:pStyle w:val="SourceCode"/>
      </w:pPr>
      <w:r>
        <w:rPr>
          <w:rStyle w:val="CommentTok"/>
        </w:rPr>
        <w:t xml:space="preserve"># canonical constitution — declarations are '### §' only</w:t>
      </w:r>
      <w:r>
        <w:br/>
      </w:r>
      <w:r>
        <w:rPr>
          <w:rStyle w:val="ExtensionTok"/>
        </w:rPr>
        <w:t xml:space="preserve">anchor_census.sh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--opener-re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§11\.4\.[0-9]+'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--control-needle</w:t>
      </w:r>
      <w:r>
        <w:rPr>
          <w:rStyle w:val="NormalTok"/>
        </w:rPr>
        <w:t xml:space="preserve"> 11.4.274 Constitution.md</w:t>
      </w:r>
      <w:r>
        <w:br/>
      </w:r>
      <w:r>
        <w:br/>
      </w:r>
      <w:r>
        <w:rPr>
          <w:rStyle w:val="CommentTok"/>
        </w:rPr>
        <w:t xml:space="preserve"># a sub-anchor such as §11.4.10.A needs a widened id regex, or it collapses onto</w:t>
      </w:r>
      <w:r>
        <w:br/>
      </w:r>
      <w:r>
        <w:rPr>
          <w:rStyle w:val="CommentTok"/>
        </w:rPr>
        <w:t xml:space="preserve"># its parent and is reported as a duplicate</w:t>
      </w:r>
      <w:r>
        <w:br/>
      </w:r>
      <w:r>
        <w:rPr>
          <w:rStyle w:val="ExtensionTok"/>
        </w:rPr>
        <w:t xml:space="preserve">anchor_census.sh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--opener-re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§11\.4\.[0-9]+(\.[A-Z])?'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--id-re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'11\.4\.[0-9]+(\.[A-Z])?'</w:t>
      </w:r>
      <w:r>
        <w:rPr>
          <w:rStyle w:val="NormalTok"/>
        </w:rPr>
        <w:t xml:space="preserve"> Constitution.md</w:t>
      </w:r>
    </w:p>
    <w:p>
      <w:pPr>
        <w:pStyle w:val="FirstParagraph"/>
      </w:pPr>
      <w:r>
        <w:t xml:space="preserve">Measured 2026-09-08 with those flags:</w:t>
      </w:r>
      <w:r>
        <w:t xml:space="preserve"> </w:t>
      </w:r>
      <w:r>
        <w:rPr>
          <w:rStyle w:val="VerbatimChar"/>
        </w:rPr>
        <w:t xml:space="preserve">Constitution.md → 242 anchors, no duplicates, exit 0</w:t>
      </w:r>
      <w:r>
        <w:t xml:space="preserve">. Both behaviours are covered by tests rather than only</w:t>
      </w:r>
      <w:r>
        <w:t xml:space="preserve"> </w:t>
      </w:r>
      <w:r>
        <w:t xml:space="preserve">described here.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wait_conditionsh"/>
    <w:p>
      <w:pPr>
        <w:pStyle w:val="Heading2"/>
      </w:pPr>
      <w:r>
        <w:rPr>
          <w:rStyle w:val="VerbatimChar"/>
        </w:rPr>
        <w:t xml:space="preserve">await_condition.sh</w:t>
      </w:r>
    </w:p>
    <w:p>
      <w:pPr>
        <w:pStyle w:val="SourceCode"/>
      </w:pPr>
      <w:r>
        <w:rPr>
          <w:rStyle w:val="ExtensionTok"/>
        </w:rPr>
        <w:t xml:space="preserve">await_condition.sh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'SHELL CMD'</w:t>
      </w:r>
      <w:r>
        <w:rPr>
          <w:rStyle w:val="NormalTok"/>
        </w:rPr>
        <w:t xml:space="preserve"> [--timeout SECS] [--interval SECS] [--label NAME]</w:t>
      </w:r>
      <w:r>
        <w:br/>
      </w:r>
      <w:r>
        <w:rPr>
          <w:rStyle w:val="ExtensionTok"/>
        </w:rPr>
        <w:t xml:space="preserve">await_condition.sh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--pid-gone</w:t>
      </w:r>
      <w:r>
        <w:rPr>
          <w:rStyle w:val="NormalTok"/>
        </w:rPr>
        <w:t xml:space="preserve"> PID ...</w:t>
      </w:r>
      <w:r>
        <w:br/>
      </w:r>
      <w:r>
        <w:rPr>
          <w:rStyle w:val="ExtensionTok"/>
        </w:rPr>
        <w:t xml:space="preserve">await_condition.sh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--log-contains</w:t>
      </w:r>
      <w:r>
        <w:rPr>
          <w:rStyle w:val="NormalTok"/>
        </w:rPr>
        <w:t xml:space="preserve"> FILE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ERE ...</w:t>
      </w:r>
    </w:p>
    <w:p>
      <w:pPr>
        <w:pStyle w:val="FirstParagraph"/>
      </w:pPr>
      <w:r>
        <w:t xml:space="preserve">Exactly one outcome line, and a timeout that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read as success:</w:t>
      </w:r>
    </w:p>
    <w:p>
      <w:pPr>
        <w:pStyle w:val="SourceCode"/>
      </w:pPr>
      <w:r>
        <w:rPr>
          <w:rStyle w:val="VerbatimChar"/>
        </w:rPr>
        <w:t xml:space="preserve">AWAIT &lt;label&gt;: SATISFIED after &lt;n&gt;s (polls=&lt;k&gt;)</w:t>
      </w:r>
      <w:r>
        <w:br/>
      </w:r>
      <w:r>
        <w:rPr>
          <w:rStyle w:val="VerbatimChar"/>
        </w:rPr>
        <w:t xml:space="preserve">AWAIT &lt;label&gt;: TIMEOUT after &lt;n&gt;s (polls=&lt;k&gt;) — condition never held</w:t>
      </w:r>
    </w:p>
    <w:p>
      <w:pPr>
        <w:pStyle w:val="FirstParagraph"/>
      </w:pPr>
      <w:r>
        <w:rPr>
          <w:rStyle w:val="VerbatimChar"/>
        </w:rPr>
        <w:t xml:space="preserve">--pid-gone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, which tests existence without signalling; this tool</w:t>
      </w:r>
      <w:r>
        <w:t xml:space="preserve"> </w:t>
      </w:r>
      <w:r>
        <w:t xml:space="preserve">never signals a process (§11.4.174). The condition is re-evaluated once after the</w:t>
      </w:r>
      <w:r>
        <w:t xml:space="preserve"> </w:t>
      </w:r>
      <w:r>
        <w:t xml:space="preserve">ceiling, so a condition that became true during the final sleep is not misreported</w:t>
      </w:r>
      <w:r>
        <w:t xml:space="preserve"> </w:t>
      </w:r>
      <w:r>
        <w:t xml:space="preserve">as a timeout.</w:t>
      </w:r>
    </w:p>
    <w:p>
      <w:r>
        <w:pict>
          <v:rect style="width:0;height:1.5pt" o:hralign="center" o:hrstd="t" o:hr="t"/>
        </w:pict>
      </w:r>
    </w:p>
    <w:bookmarkEnd w:id="23"/>
    <w:bookmarkStart w:id="24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constitution/scripts/mechanical/tests/run_all.sh</w:t>
      </w:r>
    </w:p>
    <w:p>
      <w:pPr>
        <w:pStyle w:val="FirstParagraph"/>
      </w:pPr>
      <w:r>
        <w:t xml:space="preserve">212 assertions across seven suites, hermetic (each builds its own fixture tree</w:t>
      </w:r>
      <w:r>
        <w:t xml:space="preserve"> </w:t>
      </w:r>
      <w:r>
        <w:t xml:space="preserve">and its own suites), with no dependency on any consuming project's harness.</w:t>
      </w:r>
      <w:r>
        <w:t xml:space="preserve"> </w:t>
      </w:r>
      <w:r>
        <w:t xml:space="preserve">Every tool's failure paths, exit-code semantics and control needles are covered.</w:t>
      </w:r>
      <w:r>
        <w:t xml:space="preserve"> </w:t>
      </w:r>
      <w:r>
        <w:t xml:space="preserve">Measured 2026-09-08:</w:t>
      </w:r>
      <w:r>
        <w:t xml:space="preserve"> </w:t>
      </w:r>
      <w:r>
        <w:rPr>
          <w:rStyle w:val="VerbatimChar"/>
        </w:rPr>
        <w:t xml:space="preserve">ALL SUITES: 212 passed, 0 failed</w:t>
      </w:r>
      <w:r>
        <w:t xml:space="preserve"> </w:t>
      </w:r>
      <w:r>
        <w:t xml:space="preserve">(181 before</w:t>
      </w:r>
      <w:r>
        <w:t xml:space="preserve"> </w:t>
      </w:r>
      <w:r>
        <w:rPr>
          <w:rStyle w:val="VerbatimChar"/>
        </w:rPr>
        <w:t xml:space="preserve">census_query.sh</w:t>
      </w:r>
      <w:r>
        <w:t xml:space="preserve"> </w:t>
      </w:r>
      <w:r>
        <w:t xml:space="preserve">landed), identical across consecutive runs (§11.4.50).</w:t>
      </w:r>
    </w:p>
    <w:p>
      <w:pPr>
        <w:pStyle w:val="BodyText"/>
      </w:pPr>
      <w:r>
        <w:rPr>
          <w:b/>
          <w:bCs/>
        </w:rPr>
        <w:t xml:space="preserve">A consuming project verifies these tools from its own side.</w:t>
      </w:r>
      <w:r>
        <w:t xml:space="preserve"> </w:t>
      </w:r>
      <w:r>
        <w:t xml:space="preserve">These suites are</w:t>
      </w:r>
      <w:r>
        <w:t xml:space="preserve"> </w:t>
      </w:r>
      <w:r>
        <w:t xml:space="preserve">deliberately project-agnostic, so an acceptance test reproducing a</w:t>
      </w:r>
      <w:r>
        <w:t xml:space="preserve"> </w:t>
      </w:r>
      <w:r>
        <w:rPr>
          <w:i/>
          <w:iCs/>
        </w:rPr>
        <w:t xml:space="preserve">measured</w:t>
      </w:r>
      <w:r>
        <w:rPr>
          <w:i/>
          <w:iCs/>
        </w:rPr>
        <w:t xml:space="preserve"> </w:t>
      </w:r>
      <w:r>
        <w:rPr>
          <w:i/>
          <w:iCs/>
        </w:rPr>
        <w:t xml:space="preserve">outcome of a specific repository</w:t>
      </w:r>
      <w:r>
        <w:t xml:space="preserve"> </w:t>
      </w:r>
      <w:r>
        <w:t xml:space="preserve">belongs to that repository — reaching out to</w:t>
      </w:r>
      <w:r>
        <w:t xml:space="preserve"> </w:t>
      </w:r>
      <w:r>
        <w:t xml:space="preserve">the constitution, never the reverse. Reference example:</w:t>
      </w:r>
      <w:r>
        <w:t xml:space="preserve"> </w:t>
      </w:r>
      <w:r>
        <w:rPr>
          <w:rStyle w:val="VerbatimChar"/>
        </w:rPr>
        <w:t xml:space="preserve">claude_toolkit/scripts/tests/test_mechanical_tools_acceptance.sh</w:t>
      </w:r>
      <w:r>
        <w:t xml:space="preserve">, which asserts</w:t>
      </w:r>
      <w:r>
        <w:t xml:space="preserve"> </w:t>
      </w:r>
      <w:r>
        <w:t xml:space="preserve">each tool's refusal paths, degrades honestly to a named SKIP when no constitution</w:t>
      </w:r>
      <w:r>
        <w:t xml:space="preserve"> </w:t>
      </w:r>
      <w:r>
        <w:t xml:space="preserve">checkout is reachable, and — opt-in via</w:t>
      </w:r>
      <w:r>
        <w:t xml:space="preserve"> </w:t>
      </w:r>
      <w:r>
        <w:rPr>
          <w:rStyle w:val="VerbatimChar"/>
        </w:rPr>
        <w:t xml:space="preserve">CMA_MECH_ACCEPTANCE=1</w:t>
      </w:r>
      <w:r>
        <w:t xml:space="preserve"> </w:t>
      </w:r>
      <w:r>
        <w:t xml:space="preserve">— reproduces that</w:t>
      </w:r>
      <w:r>
        <w:t xml:space="preserve"> </w:t>
      </w:r>
      <w:r>
        <w:t xml:space="preserve">repo's own measured baseline and a named mutation against it.</w:t>
      </w:r>
    </w:p>
    <w:bookmarkEnd w:id="24"/>
    <w:bookmarkStart w:id="25" w:name="re-scan-cadence-114274c"/>
    <w:p>
      <w:pPr>
        <w:pStyle w:val="Heading2"/>
      </w:pPr>
      <w:r>
        <w:t xml:space="preserve">Re-scan cadence (§11.4.274(c))</w:t>
      </w:r>
    </w:p>
    <w:p>
      <w:pPr>
        <w:pStyle w:val="FirstParagraph"/>
      </w:pPr>
      <w:r>
        <w:t xml:space="preserve">Extraction is a standing obligation, not a cleanup. New mechanical loops accrete</w:t>
      </w:r>
      <w:r>
        <w:t xml:space="preserve"> </w:t>
      </w:r>
      <w:r>
        <w:t xml:space="preserve">as features land. Periodically re-read recent transcripts and scripts for</w:t>
      </w:r>
      <w:r>
        <w:t xml:space="preserve"> </w:t>
      </w:r>
      <w:r>
        <w:t xml:space="preserve">recurring command sequences and "run these in order" recipes, and extract what</w:t>
      </w:r>
      <w:r>
        <w:t xml:space="preserve"> </w:t>
      </w:r>
      <w:r>
        <w:t xml:space="preserve">you find. This directory is where the results go.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2026-10-11T22:29:14Z</dcterms:created>
  <dcterms:modified xsi:type="dcterms:W3CDTF">2026-10-11T22:29:14Z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