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d9659cd3c2ba9862419e416a5508c5e877bd50a"/>
    <w:p>
      <w:pPr>
        <w:pStyle w:val="Heading1"/>
      </w:pPr>
      <w:r>
        <w:t xml:space="preserve">workable-items — §11.4.93 SQLite-SSoT Go binary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2026-08-25T00:00:00Z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Authoritative source-of-truth registry for every workable item in every consuming project. Bidirectional regen between SQLite DB and Markdown trackers per Constitution §11.4.93.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Per Constitution §11.4.93, every consuming project's workable-items</w:t>
      </w:r>
      <w:r>
        <w:t xml:space="preserve"> </w:t>
      </w:r>
      <w:r>
        <w:t xml:space="preserve">inventory (Issues.md / Fixed.md / Issues_Summary.md / Fixed_Summary.md /</w:t>
      </w:r>
      <w:r>
        <w:t xml:space="preserve"> </w:t>
      </w:r>
      <w:r>
        <w:t xml:space="preserve">Status.md fleet / CONTINUATION.md §3) is reconstructible from this</w:t>
      </w:r>
      <w:r>
        <w:t xml:space="preserve"> </w:t>
      </w:r>
      <w:r>
        <w:t xml:space="preserve">DB-backed registry. The DB is the</w:t>
      </w:r>
      <w:r>
        <w:t xml:space="preserve"> </w:t>
      </w:r>
      <w:r>
        <w:rPr>
          <w:b/>
          <w:bCs/>
        </w:rPr>
        <w:t xml:space="preserve">authoritative</w:t>
      </w:r>
      <w:r>
        <w:t xml:space="preserve"> </w:t>
      </w:r>
      <w:r>
        <w:t xml:space="preserve">source; all</w:t>
      </w:r>
      <w:r>
        <w:t xml:space="preserve"> </w:t>
      </w:r>
      <w:r>
        <w:t xml:space="preserve">Markdown / HTML / PDF surfaces are generator output.</w:t>
      </w:r>
    </w:p>
    <w:p>
      <w:pPr>
        <w:pStyle w:val="BodyText"/>
      </w:pPr>
      <w:r>
        <w:t xml:space="preserve">Sync drift is mechanically impossible because every regeneration</w:t>
      </w:r>
      <w:r>
        <w:t xml:space="preserve"> </w:t>
      </w:r>
      <w:r>
        <w:t xml:space="preserve">starts from the DB.</w:t>
      </w:r>
    </w:p>
    <w:bookmarkEnd w:id="9"/>
    <w:bookmarkStart w:id="10" w:name="layout"/>
    <w:p>
      <w:pPr>
        <w:pStyle w:val="Heading2"/>
      </w:pPr>
      <w:r>
        <w:t xml:space="preserve">Layout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DDL — 6 tables: items + item_history + obsolete_details + operator_block_details + firebase_metadata + meta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cmd/workable-items/main.go</w:t>
            </w:r>
          </w:p>
        </w:tc>
        <w:tc>
          <w:tcPr/>
          <w:p>
            <w:pPr>
              <w:pStyle w:val="Compact"/>
            </w:pPr>
            <w:r>
              <w:t xml:space="preserve">Go binary entrypoint (Phase 2 scaffold)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pkg/itemsdb/</w:t>
            </w:r>
          </w:p>
        </w:tc>
        <w:tc>
          <w:tcPr/>
          <w:p>
            <w:pPr>
              <w:pStyle w:val="Compact"/>
            </w:pPr>
            <w:r>
              <w:t xml:space="preserve">SQLite access layer (Phase 2 scaffold)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pkg/mdparser/</w:t>
            </w:r>
          </w:p>
        </w:tc>
        <w:tc>
          <w:tcPr/>
          <w:p>
            <w:pPr>
              <w:pStyle w:val="Compact"/>
            </w:pPr>
            <w:r>
              <w:t xml:space="preserve">Markdown→DB parser (Phase 3 scaffold)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pkg/mdrender/</w:t>
            </w:r>
          </w:p>
        </w:tc>
        <w:tc>
          <w:tcPr/>
          <w:p>
            <w:pPr>
              <w:pStyle w:val="Compact"/>
            </w:pPr>
            <w:r>
              <w:t xml:space="preserve">DB→Markdown renderer (Phase 4 scaffold)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Unit + integration + stress + chaos tests per §11.4.85</w:t>
            </w:r>
          </w:p>
        </w:tc>
      </w:tr>
    </w:tbl>
    <w:bookmarkEnd w:id="10"/>
    <w:bookmarkStart w:id="11" w:name="subcommands-implemented"/>
    <w:p>
      <w:pPr>
        <w:pStyle w:val="Heading2"/>
      </w:pPr>
      <w:r>
        <w:t xml:space="preserve">Subcommands (implemented)</w:t>
      </w:r>
    </w:p>
    <w:p>
      <w:pPr>
        <w:pStyle w:val="FirstParagraph"/>
      </w:pPr>
      <w:r>
        <w:t xml:space="preserve">All subcommands below are implemented and tested against a real SQLite DB</w:t>
      </w:r>
      <w:r>
        <w:t xml:space="preserve"> </w:t>
      </w:r>
      <w:r>
        <w:t xml:space="preserve">(no mocks).</w:t>
      </w:r>
      <w:r>
        <w:t xml:space="preserve"> </w:t>
      </w:r>
      <w:r>
        <w:rPr>
          <w:rStyle w:val="VerbatimChar"/>
        </w:rPr>
        <w:t xml:space="preserve">--db &lt;path&gt;</w:t>
      </w:r>
      <w:r>
        <w:t xml:space="preserve"> </w:t>
      </w:r>
      <w:r>
        <w:t xml:space="preserve">is required by every subcommand.</w:t>
      </w:r>
    </w:p>
    <w:p>
      <w:pPr>
        <w:pStyle w:val="SourceCode"/>
      </w:pPr>
      <w:r>
        <w:rPr>
          <w:rStyle w:val="VerbatimChar"/>
        </w:rPr>
        <w:t xml:space="preserve">workable-items sync md-to-db --db &lt;p&gt; [--issues &lt;p&gt;] [--fixed &lt;p&gt;]</w:t>
      </w:r>
      <w:r>
        <w:br/>
      </w:r>
      <w:r>
        <w:rPr>
          <w:rStyle w:val="VerbatimChar"/>
        </w:rPr>
        <w:t xml:space="preserve">                                    # parse Issues.md+Fixed.md → upsert DB</w:t>
      </w:r>
      <w:r>
        <w:br/>
      </w:r>
      <w:r>
        <w:rPr>
          <w:rStyle w:val="VerbatimChar"/>
        </w:rPr>
        <w:t xml:space="preserve">workable-items sync db-to-md --db &lt;p&gt; [--out-issues &lt;p&gt;] [--out-fixed &lt;p&gt;]</w:t>
      </w:r>
      <w:r>
        <w:br/>
      </w:r>
      <w:r>
        <w:rPr>
          <w:rStyle w:val="VerbatimChar"/>
        </w:rPr>
        <w:t xml:space="preserve">                                    # regen MD docs from DB (byte-identical round-trip)</w:t>
      </w:r>
      <w:r>
        <w:br/>
      </w:r>
      <w:r>
        <w:rPr>
          <w:rStyle w:val="VerbatimChar"/>
        </w:rPr>
        <w:t xml:space="preserve">workable-items diff --db &lt;p&gt; [--issues &lt;p&gt;] [--fixed &lt;p&gt;] [--partial-scope] | --db-only</w:t>
      </w:r>
      <w:r>
        <w:br/>
      </w:r>
      <w:r>
        <w:rPr>
          <w:rStyle w:val="VerbatimChar"/>
        </w:rPr>
        <w:t xml:space="preserve">                                    # show DB vs MD divergence (CI gate).</w:t>
      </w:r>
      <w:r>
        <w:br/>
      </w:r>
      <w:r>
        <w:rPr>
          <w:rStyle w:val="VerbatimChar"/>
        </w:rPr>
        <w:t xml:space="preserve">                                    # REFUSES rather than emit a verdict it cannot</w:t>
      </w:r>
      <w:r>
        <w:br/>
      </w:r>
      <w:r>
        <w:rPr>
          <w:rStyle w:val="VerbatimChar"/>
        </w:rPr>
        <w:t xml:space="preserve">                                    # support: with NO Markdown path (BOB-155), and</w:t>
      </w:r>
      <w:r>
        <w:br/>
      </w:r>
      <w:r>
        <w:rPr>
          <w:rStyle w:val="VerbatimChar"/>
        </w:rPr>
        <w:t xml:space="preserve">                                    # when the supplied path(s) do not account for</w:t>
      </w:r>
      <w:r>
        <w:br/>
      </w:r>
      <w:r>
        <w:rPr>
          <w:rStyle w:val="VerbatimChar"/>
        </w:rPr>
        <w:t xml:space="preserve">                                    # every DB item's current_location (BOB-186) —</w:t>
      </w:r>
      <w:r>
        <w:br/>
      </w:r>
      <w:r>
        <w:rPr>
          <w:rStyle w:val="VerbatimChar"/>
        </w:rPr>
        <w:t xml:space="preserve">                                    # e.g. --issues alone while the DB holds Fixed</w:t>
      </w:r>
      <w:r>
        <w:br/>
      </w:r>
      <w:r>
        <w:rPr>
          <w:rStyle w:val="VerbatimChar"/>
        </w:rPr>
        <w:t xml:space="preserve">                                    # rows, which previously reported "in sync"</w:t>
      </w:r>
      <w:r>
        <w:br/>
      </w:r>
      <w:r>
        <w:rPr>
          <w:rStyle w:val="VerbatimChar"/>
        </w:rPr>
        <w:t xml:space="preserve">                                    # having compared none of them.</w:t>
      </w:r>
      <w:r>
        <w:br/>
      </w:r>
      <w:r>
        <w:rPr>
          <w:rStyle w:val="VerbatimChar"/>
        </w:rPr>
        <w:t xml:space="preserve">                                    # --db-only     : DB-internal checks only, reads</w:t>
      </w:r>
      <w:r>
        <w:br/>
      </w:r>
      <w:r>
        <w:rPr>
          <w:rStyle w:val="VerbatimChar"/>
        </w:rPr>
        <w:t xml:space="preserve">                                    #                 no Markdown (verdict says so).</w:t>
      </w:r>
      <w:r>
        <w:br/>
      </w:r>
      <w:r>
        <w:rPr>
          <w:rStyle w:val="VerbatimChar"/>
        </w:rPr>
        <w:t xml:space="preserve">                                    # --partial-scope: compare only the tracker(s)</w:t>
      </w:r>
      <w:r>
        <w:br/>
      </w:r>
      <w:r>
        <w:rPr>
          <w:rStyle w:val="VerbatimChar"/>
        </w:rPr>
        <w:t xml:space="preserve">                                    #                 supplied; the verdict names the</w:t>
      </w:r>
      <w:r>
        <w:br/>
      </w:r>
      <w:r>
        <w:rPr>
          <w:rStyle w:val="VerbatimChar"/>
        </w:rPr>
        <w:t xml:space="preserve">                                    #                 locations it did NOT cover and</w:t>
      </w:r>
      <w:r>
        <w:br/>
      </w:r>
      <w:r>
        <w:rPr>
          <w:rStyle w:val="VerbatimChar"/>
        </w:rPr>
        <w:t xml:space="preserve">                                    #                 never claims a full sync.</w:t>
      </w:r>
      <w:r>
        <w:br/>
      </w:r>
      <w:r>
        <w:rPr>
          <w:rStyle w:val="VerbatimChar"/>
        </w:rPr>
        <w:t xml:space="preserve">workable-items validate --db &lt;p&gt;    # invariant + schema sanity (pre-build gate)</w:t>
      </w:r>
      <w:r>
        <w:br/>
      </w:r>
      <w:r>
        <w:rPr>
          <w:rStyle w:val="VerbatimChar"/>
        </w:rPr>
        <w:t xml:space="preserve">workable-items add &lt;type&gt; &lt;severity&gt; --db &lt;p&gt; --title &lt;T&gt; --description &lt;D&gt; [--id &lt;id&gt;] [--prefix &lt;P&gt;]</w:t>
      </w:r>
      <w:r>
        <w:br/>
      </w:r>
      <w:r>
        <w:rPr>
          <w:rStyle w:val="VerbatimChar"/>
        </w:rPr>
        <w:t xml:space="preserve">                                    # create a new Queued item in Issues; --id</w:t>
      </w:r>
      <w:r>
        <w:br/>
      </w:r>
      <w:r>
        <w:rPr>
          <w:rStyle w:val="VerbatimChar"/>
        </w:rPr>
        <w:t xml:space="preserve">                                    # auto-generated as &lt;PREFIX&gt;-NNN when absent</w:t>
      </w:r>
      <w:r>
        <w:br/>
      </w:r>
      <w:r>
        <w:rPr>
          <w:rStyle w:val="VerbatimChar"/>
        </w:rPr>
        <w:t xml:space="preserve">                                    # (PREFIX defaults to WIT). §11.4.91 floor</w:t>
      </w:r>
      <w:r>
        <w:br/>
      </w:r>
      <w:r>
        <w:rPr>
          <w:rStyle w:val="VerbatimChar"/>
        </w:rPr>
        <w:t xml:space="preserve">                                    # enforced on --description at entry.</w:t>
      </w:r>
      <w:r>
        <w:br/>
      </w:r>
      <w:r>
        <w:rPr>
          <w:rStyle w:val="VerbatimChar"/>
        </w:rPr>
        <w:t xml:space="preserve">workable-items update --id &lt;ID&gt; --db &lt;p&gt; [--title|--severity|--description|--type|--status|--created-by|--assigned-to ...] [--location Issues|Fixed]</w:t>
      </w:r>
      <w:r>
        <w:br/>
      </w:r>
      <w:r>
        <w:rPr>
          <w:rStyle w:val="VerbatimChar"/>
        </w:rPr>
        <w:t xml:space="preserve">                                    # mutate ONLY the explicitly-set fields on an</w:t>
      </w:r>
      <w:r>
        <w:br/>
      </w:r>
      <w:r>
        <w:rPr>
          <w:rStyle w:val="VerbatimChar"/>
        </w:rPr>
        <w:t xml:space="preserve">                                    # existing item; regenerate body_md; append an</w:t>
      </w:r>
      <w:r>
        <w:br/>
      </w:r>
      <w:r>
        <w:rPr>
          <w:rStyle w:val="VerbatimChar"/>
        </w:rPr>
        <w:t xml:space="preserve">                                    # item_history 'Updated' row (§11.4.34). Rejects</w:t>
      </w:r>
      <w:r>
        <w:br/>
      </w:r>
      <w:r>
        <w:rPr>
          <w:rStyle w:val="VerbatimChar"/>
        </w:rPr>
        <w:t xml:space="preserve">                                    # unknown ids, no-field calls, §11.4.91-short desc.</w:t>
      </w:r>
      <w:r>
        <w:br/>
      </w:r>
      <w:r>
        <w:rPr>
          <w:rStyle w:val="VerbatimChar"/>
        </w:rPr>
        <w:t xml:space="preserve">workable-items reopen --id &lt;ID&gt; --db &lt;p&gt; --why &lt;reason&gt; --who &lt;AI|User&gt; --when &lt;ISO&gt; --incident &lt;p&gt; [--location Issues|Fixed]</w:t>
      </w:r>
      <w:r>
        <w:br/>
      </w:r>
      <w:r>
        <w:rPr>
          <w:rStyle w:val="VerbatimChar"/>
        </w:rPr>
        <w:t xml:space="preserve">                                    # set Status=Reopened with the four §11.4.34</w:t>
      </w:r>
      <w:r>
        <w:br/>
      </w:r>
      <w:r>
        <w:rPr>
          <w:rStyle w:val="VerbatimChar"/>
        </w:rPr>
        <w:t xml:space="preserve">                                    # attribution facts (By/On/Reason/Evidence). --why</w:t>
      </w:r>
      <w:r>
        <w:br/>
      </w:r>
      <w:r>
        <w:rPr>
          <w:rStyle w:val="VerbatimChar"/>
        </w:rPr>
        <w:t xml:space="preserve">                                    # drawn from the closed set: test-failed |</w:t>
      </w:r>
      <w:r>
        <w:br/>
      </w:r>
      <w:r>
        <w:rPr>
          <w:rStyle w:val="VerbatimChar"/>
        </w:rPr>
        <w:t xml:space="preserve">                                    # manual-testing-detected | captured-evidence-</w:t>
      </w:r>
      <w:r>
        <w:br/>
      </w:r>
      <w:r>
        <w:rPr>
          <w:rStyle w:val="VerbatimChar"/>
        </w:rPr>
        <w:t xml:space="preserve">                                    # contradicts | end-user-report | cycle-re-</w:t>
      </w:r>
      <w:r>
        <w:br/>
      </w:r>
      <w:r>
        <w:rPr>
          <w:rStyle w:val="VerbatimChar"/>
        </w:rPr>
        <w:t xml:space="preserve">                                    # discovered | design-reconsidered. ALL four</w:t>
      </w:r>
      <w:r>
        <w:br/>
      </w:r>
      <w:r>
        <w:rPr>
          <w:rStyle w:val="VerbatimChar"/>
        </w:rPr>
        <w:t xml:space="preserve">                                    # mandatory (a reopen is a §11.4.7 demotion).</w:t>
      </w:r>
      <w:r>
        <w:br/>
      </w:r>
      <w:r>
        <w:rPr>
          <w:rStyle w:val="VerbatimChar"/>
        </w:rPr>
        <w:t xml:space="preserve">workable-items block --id &lt;ID&gt; --db &lt;p&gt; --details &lt;WHAT&gt; [--why &lt;T&gt;] [--unblock &lt;T&gt;] [--who &lt;T&gt;] [--location Issues|Fixed]</w:t>
      </w:r>
      <w:r>
        <w:br/>
      </w:r>
      <w:r>
        <w:rPr>
          <w:rStyle w:val="VerbatimChar"/>
        </w:rPr>
        <w:t xml:space="preserve">                                    # set Status=Operator-blocked + an</w:t>
      </w:r>
      <w:r>
        <w:br/>
      </w:r>
      <w:r>
        <w:rPr>
          <w:rStyle w:val="VerbatimChar"/>
        </w:rPr>
        <w:t xml:space="preserve">                                    # operator_block_details row (§11.4.21). --details</w:t>
      </w:r>
      <w:r>
        <w:br/>
      </w:r>
      <w:r>
        <w:rPr>
          <w:rStyle w:val="VerbatimChar"/>
        </w:rPr>
        <w:t xml:space="preserve">                                    # (the WHAT) is mandatory and non-empty.</w:t>
      </w:r>
      <w:r>
        <w:br/>
      </w:r>
      <w:r>
        <w:rPr>
          <w:rStyle w:val="VerbatimChar"/>
        </w:rPr>
        <w:t xml:space="preserve">workable-items close &lt;atm-id&gt; --db &lt;p&gt; --status &lt;fixed|implemented|completed|obsolete&gt; --evidence &lt;p&gt;</w:t>
      </w:r>
      <w:r>
        <w:br/>
      </w:r>
      <w:r>
        <w:rPr>
          <w:rStyle w:val="VerbatimChar"/>
        </w:rPr>
        <w:t xml:space="preserve">                                    # atomic Issues→Fixed move (§11.4.19); --evidence</w:t>
      </w:r>
      <w:r>
        <w:br/>
      </w:r>
      <w:r>
        <w:rPr>
          <w:rStyle w:val="VerbatimChar"/>
        </w:rPr>
        <w:t xml:space="preserve">                                    # mandatory (§11.4.5/§11.4.90); records item_history.</w:t>
      </w:r>
      <w:r>
        <w:br/>
      </w:r>
      <w:r>
        <w:rPr>
          <w:rStyle w:val="VerbatimChar"/>
        </w:rPr>
        <w:t xml:space="preserve">workable-items report --db &lt;p&gt; [--by-type|--by-status|--by-severity|--by-assigned|--by-creator|--obsolete-audit]</w:t>
      </w:r>
      <w:r>
        <w:br/>
      </w:r>
      <w:r>
        <w:rPr>
          <w:rStyle w:val="VerbatimChar"/>
        </w:rPr>
        <w:t xml:space="preserve">                                    # read-only grouped tally; --obsolete-audit lists</w:t>
      </w:r>
      <w:r>
        <w:br/>
      </w:r>
      <w:r>
        <w:rPr>
          <w:rStyle w:val="VerbatimChar"/>
        </w:rPr>
        <w:t xml:space="preserve">                                    # Obsolete items + flags missing §11.4.90 details.</w:t>
      </w:r>
      <w:r>
        <w:br/>
      </w:r>
      <w:r>
        <w:rPr>
          <w:rStyle w:val="VerbatimChar"/>
        </w:rPr>
        <w:t xml:space="preserve">workable-items export --db &lt;p&gt; [--out-dir &lt;d&gt;] [--no-formats] [--out-issues &lt;p&gt;] [--out-fixed &lt;p&gt;]</w:t>
      </w:r>
      <w:r>
        <w:br/>
      </w:r>
      <w:r>
        <w:rPr>
          <w:rStyle w:val="VerbatimChar"/>
        </w:rPr>
        <w:t xml:space="preserve">                                    # regenerate Issues.md + Fixed.md (byte-identical</w:t>
      </w:r>
      <w:r>
        <w:br/>
      </w:r>
      <w:r>
        <w:rPr>
          <w:rStyle w:val="VerbatimChar"/>
        </w:rPr>
        <w:t xml:space="preserve">                                    # round-trip) + Issues_Summary.md (§11.4.12 open-</w:t>
      </w:r>
      <w:r>
        <w:br/>
      </w:r>
      <w:r>
        <w:rPr>
          <w:rStyle w:val="VerbatimChar"/>
        </w:rPr>
        <w:t xml:space="preserve">                                    # only Type×Status tally) + Fixed_Summary.md</w:t>
      </w:r>
      <w:r>
        <w:br/>
      </w:r>
      <w:r>
        <w:rPr>
          <w:rStyle w:val="VerbatimChar"/>
        </w:rPr>
        <w:t xml:space="preserve">                                    # (§11.4.53 closed-only) + §11.4.65 HTML/PDF/DOCX</w:t>
      </w:r>
      <w:r>
        <w:br/>
      </w:r>
      <w:r>
        <w:rPr>
          <w:rStyle w:val="VerbatimChar"/>
        </w:rPr>
        <w:t xml:space="preserve">                                    # siblings via pandoc (--pdf-engine=weasyprint).</w:t>
      </w:r>
      <w:r>
        <w:br/>
      </w:r>
      <w:r>
        <w:rPr>
          <w:rStyle w:val="VerbatimChar"/>
        </w:rPr>
        <w:t xml:space="preserve">                                    # Sibling steps are exec.LookPath-gated: when</w:t>
      </w:r>
      <w:r>
        <w:br/>
      </w:r>
      <w:r>
        <w:rPr>
          <w:rStyle w:val="VerbatimChar"/>
        </w:rPr>
        <w:t xml:space="preserve">                                    # pandoc/weasyprint is absent the .md is still</w:t>
      </w:r>
      <w:r>
        <w:br/>
      </w:r>
      <w:r>
        <w:rPr>
          <w:rStyle w:val="VerbatimChar"/>
        </w:rPr>
        <w:t xml:space="preserve">                                    # written + an honest message printed — NO fake</w:t>
      </w:r>
      <w:r>
        <w:br/>
      </w:r>
      <w:r>
        <w:rPr>
          <w:rStyle w:val="VerbatimChar"/>
        </w:rPr>
        <w:t xml:space="preserve">                                    # sibling is fabricated (§6.J/§11.4.6).</w:t>
      </w:r>
    </w:p>
    <w:p>
      <w:pPr>
        <w:pStyle w:val="FirstParagraph"/>
      </w:pPr>
      <w:r>
        <w:t xml:space="preserve">Positional and flag arguments may be given in either order (e.g. both</w:t>
      </w:r>
      <w:r>
        <w:t xml:space="preserve"> </w:t>
      </w:r>
      <w:r>
        <w:rPr>
          <w:rStyle w:val="VerbatimChar"/>
        </w:rPr>
        <w:t xml:space="preserve">add Bug Critical --db x …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 --db x … Bug Critical</w:t>
      </w:r>
      <w:r>
        <w:t xml:space="preserve"> </w:t>
      </w:r>
      <w:r>
        <w:t xml:space="preserve">are accepted).</w:t>
      </w:r>
    </w:p>
    <w:p>
      <w:pPr>
        <w:pStyle w:val="BodyText"/>
      </w:pP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all mutate the DB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keep the §11.4.93 byte-identical round-trip intact: they generate / regenerate</w:t>
      </w:r>
      <w:r>
        <w:t xml:space="preserve"> </w:t>
      </w:r>
      <w:r>
        <w:t xml:space="preserve">/ move the canonical</w:t>
      </w:r>
      <w:r>
        <w:t xml:space="preserve"> </w:t>
      </w:r>
      <w:r>
        <w:rPr>
          <w:rStyle w:val="VerbatimChar"/>
        </w:rPr>
        <w:t xml:space="preserve">## &lt;ID&gt; — &lt;title&gt;</w:t>
      </w:r>
      <w:r>
        <w:t xml:space="preserve"> </w:t>
      </w:r>
      <w:r>
        <w:t xml:space="preserve">item block + its</w:t>
      </w:r>
      <w:r>
        <w:t xml:space="preserve"> </w:t>
      </w:r>
      <w:r>
        <w:rPr>
          <w:rStyle w:val="VerbatimChar"/>
        </w:rPr>
        <w:t xml:space="preserve">doc_segments</w:t>
      </w:r>
      <w:r>
        <w:t xml:space="preserve"> </w:t>
      </w:r>
      <w:r>
        <w:t xml:space="preserve">entry</w:t>
      </w:r>
      <w:r>
        <w:t xml:space="preserve"> </w:t>
      </w:r>
      <w:r>
        <w:t xml:space="preserve">so a subsequent</w:t>
      </w:r>
      <w:r>
        <w:t xml:space="preserve"> </w:t>
      </w:r>
      <w:r>
        <w:rPr>
          <w:rStyle w:val="VerbatimChar"/>
        </w:rPr>
        <w:t xml:space="preserve">sync db-to-md</w:t>
      </w:r>
      <w:r>
        <w:t xml:space="preserve"> </w:t>
      </w:r>
      <w:r>
        <w:t xml:space="preserve">regenerates a well-formed, re-parseable tracker</w:t>
      </w:r>
      <w:r>
        <w:t xml:space="preserve"> </w:t>
      </w:r>
      <w:r>
        <w:t xml:space="preserve">(add is a stable fixed point; close round-trips and re-validates; update/reopen/</w:t>
      </w:r>
      <w:r>
        <w:t xml:space="preserve"> </w:t>
      </w:r>
      <w:r>
        <w:t xml:space="preserve">block regenerate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 </w:t>
      </w:r>
      <w:r>
        <w:t xml:space="preserve">with the new status + any §11.4.34/§11.4.21 detail</w:t>
      </w:r>
      <w:r>
        <w:t xml:space="preserve"> </w:t>
      </w:r>
      <w:r>
        <w:t xml:space="preserve">line embedded in the heading-adjacent meta block).</w:t>
      </w:r>
    </w:p>
    <w:bookmarkEnd w:id="11"/>
    <w:bookmarkStart w:id="12" w:name="X945260849fd47d5fa9f2ee01ab9ea74ae0fbbe0"/>
    <w:p>
      <w:pPr>
        <w:pStyle w:val="Heading2"/>
      </w:pPr>
      <w:r>
        <w:t xml:space="preserve">Anti-bluff coverage (mandatory per §11.4.93 + §11.4.85)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every CRUD operation + every schema invariant + closed-set validators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full MD→DB→MD round-trip byte-identical (modulo whitespace tolerance)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 per §11.4.85</w:t>
            </w:r>
          </w:p>
        </w:tc>
        <w:tc>
          <w:tcPr/>
          <w:p>
            <w:pPr>
              <w:pStyle w:val="Compact"/>
            </w:pPr>
            <w:r>
              <w:t xml:space="preserve">1000-row insert; 10 concurrent writers; sustained read 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Chaos per §11.4.85</w:t>
            </w:r>
          </w:p>
        </w:tc>
        <w:tc>
          <w:tcPr/>
          <w:p>
            <w:pPr>
              <w:pStyle w:val="Compact"/>
            </w:pPr>
            <w:r>
              <w:t xml:space="preserve">mid-write SIGKILL; corrupt-DB recovery; disk-full; FD exhaustion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Paired §1.1 mutation</w:t>
            </w:r>
          </w:p>
        </w:tc>
        <w:tc>
          <w:tcPr/>
          <w:p>
            <w:pPr>
              <w:pStyle w:val="Compact"/>
            </w:pPr>
            <w:r>
              <w:t xml:space="preserve">strip CRUD function → unit test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HelixQA 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CME-WORKABLE-ITEMS-001</w:t>
            </w:r>
            <w:r>
              <w:t xml:space="preserve"> </w:t>
            </w:r>
            <w:r>
              <w:t xml:space="preserve">exercises end-to-end DB→MD→DB→MD</w:t>
            </w:r>
          </w:p>
        </w:tc>
      </w:tr>
    </w:tbl>
    <w:bookmarkEnd w:id="12"/>
    <w:bookmarkStart w:id="13" w:name="Xa5915cddba43dbcf22b1544618abcb9f37fa60e"/>
    <w:p>
      <w:pPr>
        <w:pStyle w:val="Heading2"/>
      </w:pPr>
      <w:r>
        <w:t xml:space="preserve">6-phase migration per §11.4.93 (consuming-project work)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1</w:t>
      </w:r>
      <w:r>
        <w:t xml:space="preserve"> </w:t>
      </w:r>
      <w:r>
        <w:t xml:space="preserve">— Issues entry</w:t>
      </w:r>
      <w:r>
        <w:t xml:space="preserve"> </w:t>
      </w:r>
      <w:r>
        <w:rPr>
          <w:rStyle w:val="VerbatimChar"/>
        </w:rPr>
        <w:t xml:space="preserve">§LA</w:t>
      </w:r>
      <w:r>
        <w:t xml:space="preserve"> </w:t>
      </w:r>
      <w:r>
        <w:t xml:space="preserve">filed, scope-locked.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2</w:t>
      </w:r>
      <w:r>
        <w:t xml:space="preserve"> </w:t>
      </w:r>
      <w:r>
        <w:t xml:space="preserve">— Go binary scaffold + DDL committed (this PWU).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sync md-to-db</w:t>
      </w:r>
      <w:r>
        <w:t xml:space="preserve"> </w:t>
      </w:r>
      <w:r>
        <w:t xml:space="preserve">lands + captures initial migration.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sync db-to-md</w:t>
      </w:r>
      <w:r>
        <w:t xml:space="preserve"> </w:t>
      </w:r>
      <w:r>
        <w:t xml:space="preserve">lands + byte-identical round-trip CI gate.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5</w:t>
      </w:r>
      <w:r>
        <w:t xml:space="preserve"> </w:t>
      </w:r>
      <w:r>
        <w:t xml:space="preserve">— Existing bash generators (</w:t>
      </w:r>
      <w:r>
        <w:rPr>
          <w:rStyle w:val="VerbatimChar"/>
        </w:rPr>
        <w:t xml:space="preserve">generate_issues_summary.sh</w:t>
      </w:r>
      <w:r>
        <w:t xml:space="preserve"> </w:t>
      </w:r>
      <w:r>
        <w:t xml:space="preserve">etc.)</w:t>
      </w:r>
      <w:r>
        <w:t xml:space="preserve"> </w:t>
      </w:r>
      <w:r>
        <w:t xml:space="preserve">become Go-binary shims.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6</w:t>
      </w:r>
      <w:r>
        <w:t xml:space="preserve"> </w:t>
      </w:r>
      <w:r>
        <w:t xml:space="preserve">— Legacy text-direct edits prohibited (pre-commit hook).</w:t>
      </w:r>
    </w:p>
    <w:bookmarkEnd w:id="13"/>
    <w:bookmarkStart w:id="14" w:name="composes-with-constitution-anchors"/>
    <w:p>
      <w:pPr>
        <w:pStyle w:val="Heading2"/>
      </w:pPr>
      <w:r>
        <w:t xml:space="preserve">Composes with constitution anchors</w:t>
      </w:r>
    </w:p>
    <w:p>
      <w:pPr>
        <w:pStyle w:val="FirstParagraph"/>
      </w:pPr>
      <w:r>
        <w:t xml:space="preserve">§11.4 / §11.4.12 / §11.4.15 / §11.4.16 / §11.4.17 / §11.4.19 /</w:t>
      </w:r>
      <w:r>
        <w:t xml:space="preserve"> </w:t>
      </w:r>
      <w:r>
        <w:t xml:space="preserve">§11.4.21 / §11.4.27 / §11.4.30 / §11.4.33 / §11.4.34 / §11.4.42 /</w:t>
      </w:r>
      <w:r>
        <w:t xml:space="preserve"> </w:t>
      </w:r>
      <w:r>
        <w:t xml:space="preserve">§11.4.43 / §11.4.44 / §11.4.45 / §11.4.50 / §11.4.52 / §11.4.53 /</w:t>
      </w:r>
      <w:r>
        <w:t xml:space="preserve"> </w:t>
      </w:r>
      <w:r>
        <w:t xml:space="preserve">§11.4.54 / §11.4.55 / §11.4.56 / §11.4.57 / §11.4.58 / §11.4.60 /</w:t>
      </w:r>
      <w:r>
        <w:t xml:space="preserve"> </w:t>
      </w:r>
      <w:r>
        <w:t xml:space="preserve">§11.4.65 / §11.4.74 / §11.4.77 / §11.4.83 / §11.4.85 / §11.4.86 /</w:t>
      </w:r>
      <w:r>
        <w:t xml:space="preserve"> </w:t>
      </w:r>
      <w:r>
        <w:t xml:space="preserve">§11.4.87 / §11.4.89 / §11.4.90 / §11.4.91 / §11.4.92.</w:t>
      </w:r>
    </w:p>
    <w:bookmarkEnd w:id="14"/>
    <w:bookmarkStart w:id="16" w:name="canonical-authority"/>
    <w:p>
      <w:pPr>
        <w:pStyle w:val="Heading2"/>
      </w:pPr>
      <w:r>
        <w:t xml:space="preserve">Canonical authority</w:t>
      </w:r>
    </w:p>
    <w:p>
      <w:pPr>
        <w:pStyle w:val="FirstParagraph"/>
      </w:pPr>
      <w:hyperlink r:id="rId15">
        <w:r>
          <w:rPr>
            <w:rStyle w:val="VerbatimChar"/>
          </w:rPr>
          <w:t xml:space="preserve">../../Constitution.md</w:t>
        </w:r>
      </w:hyperlink>
      <w:r>
        <w:t xml:space="preserve"> </w:t>
      </w:r>
      <w:r>
        <w:t xml:space="preserve">§11.4.93.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./../Constitu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../Constitu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2026-10-11T22:29:31Z</dcterms:created>
  <dcterms:modified xsi:type="dcterms:W3CDTF">2026-10-11T22:29:31Z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