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ssues"/>
    <w:p>
      <w:pPr>
        <w:pStyle w:val="Heading1"/>
      </w:pPr>
      <w:r>
        <w:t xml:space="preserve">Issues</w:t>
      </w:r>
    </w:p>
    <w:p>
      <w:pPr>
        <w:pStyle w:val="FirstParagraph"/>
      </w:pPr>
      <w:r>
        <w:t xml:space="preserve">Legacy preamble — predates §11.4.104; carries NO attribution fields anywhere.</w:t>
      </w:r>
    </w:p>
    <w:bookmarkStart w:id="9" w:name="X44da9e172a179f95d01c231645d905cf64804bb"/>
    <w:p>
      <w:pPr>
        <w:pStyle w:val="Heading2"/>
      </w:pPr>
      <w:r>
        <w:t xml:space="preserve">WIT-601 — legacy item with no attribution fields whatsoever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A pre-attribution legacy item: no Created-By / Assigned-To lines exist, and the</w:t>
      </w:r>
      <w:r>
        <w:t xml:space="preserve"> </w:t>
      </w:r>
      <w:r>
        <w:t xml:space="preserve">round-trip MUST NOT inject empty ones.</w:t>
      </w:r>
    </w:p>
    <w:bookmarkEnd w:id="9"/>
    <w:bookmarkStart w:id="10" w:name="X5cc9d2920ae3c2cc7698392b0baa655f49ebf9f"/>
    <w:p>
      <w:pPr>
        <w:pStyle w:val="Heading2"/>
      </w:pPr>
      <w:r>
        <w:t xml:space="preserve">WIT-602 — second legacy item to exercise multi-item legacy round-trip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Ready for testing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</w:p>
    <w:p>
      <w:pPr>
        <w:pStyle w:val="BodyText"/>
      </w:pPr>
      <w:r>
        <w:t xml:space="preserve">Another legacy item with only the original metadata block.</w:t>
      </w:r>
    </w:p>
    <w:p>
      <w:r>
        <w:pict>
          <v:rect style="width:0;height:1.5pt" o:hralign="center" o:hrstd="t" o:hr="t"/>
        </w:pic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2026-10-11T22:29:22Z</dcterms:created>
  <dcterms:modified xsi:type="dcterms:W3CDTF">2026-10-11T22:29:22Z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