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ssues"/>
    <w:p>
      <w:pPr>
        <w:pStyle w:val="Heading1"/>
      </w:pPr>
      <w:r>
        <w:t xml:space="preserve">Issues</w:t>
      </w:r>
    </w:p>
    <w:p>
      <w:pPr>
        <w:pStyle w:val="FirstParagraph"/>
      </w:pPr>
      <w:r>
        <w:t xml:space="preserve">Preamble prose that is not a workable item — kept verbatim as a raw segment.</w:t>
      </w:r>
    </w:p>
    <w:bookmarkStart w:id="9" w:name="X72fd545a66cb87aa1049fc413453f80daba86ab"/>
    <w:p>
      <w:pPr>
        <w:pStyle w:val="Heading2"/>
      </w:pPr>
      <w:r>
        <w:t xml:space="preserve">WIT-501 — participant-attributed item carrying both attribution fields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@milos85vasic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@someoneelse</w:t>
      </w:r>
    </w:p>
    <w:p>
      <w:pPr>
        <w:pStyle w:val="BodyText"/>
      </w:pPr>
      <w:r>
        <w:t xml:space="preserve">This item carries both §11.4.104 attribution fields and must round-trip byte-identical.</w:t>
      </w:r>
    </w:p>
    <w:bookmarkEnd w:id="9"/>
    <w:bookmarkStart w:id="10" w:name="X37fb7e8c0d645937b3855ce7c1b78a314cbf8ae"/>
    <w:p>
      <w:pPr>
        <w:pStyle w:val="Heading2"/>
      </w:pPr>
      <w:r>
        <w:t xml:space="preserve">WIT-502 — item attributed to the system agent only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Claude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@milos85vasic</w:t>
      </w:r>
    </w:p>
    <w:p>
      <w:pPr>
        <w:pStyle w:val="BodyText"/>
      </w:pPr>
      <w:r>
        <w:t xml:space="preserve">System-opened item: created_by is the reserved Claude sentinel, assigned to the operator.</w:t>
      </w:r>
    </w:p>
    <w:p>
      <w:r>
        <w:pict>
          <v:rect style="width:0;height:1.5pt" o:hralign="center" o:hrstd="t" o:hr="t"/>
        </w:pic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2026-10-11T22:29:23Z</dcterms:created>
  <dcterms:modified xsi:type="dcterms:W3CDTF">2026-10-11T22:29:23Z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