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host-and-resource-safety"/>
    <w:p>
      <w:pPr>
        <w:pStyle w:val="Heading1"/>
      </w:pPr>
      <w:r>
        <w:t xml:space="preserve">Host And Resource Safety</w:t>
      </w:r>
    </w:p>
    <w:bookmarkStart w:id="9"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01"/>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02"/>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9"/>
    <w:bookmarkStart w:id="11"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003"/>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004"/>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005"/>
        </w:numPr>
      </w:pPr>
      <w:r>
        <w:t xml:space="preserve">§11.4.4 — four-layer test coverage per PWU (pre-build + post-build +</w:t>
      </w:r>
      <w:r>
        <w:t xml:space="preserve"> </w:t>
      </w:r>
      <w:r>
        <w:t xml:space="preserve">on-device + HelixQA bank).</w:t>
      </w:r>
    </w:p>
    <w:p>
      <w:pPr>
        <w:pStyle w:val="Compact"/>
        <w:numPr>
          <w:ilvl w:val="0"/>
          <w:numId w:val="1005"/>
        </w:numPr>
      </w:pPr>
      <w:r>
        <w:t xml:space="preserve">§11.4.5 — audio/video quality analysis comprehensiveness (PWU</w:t>
      </w:r>
      <w:r>
        <w:t xml:space="preserve"> </w:t>
      </w:r>
      <w:r>
        <w:t xml:space="preserve">captured-evidence directory).</w:t>
      </w:r>
    </w:p>
    <w:p>
      <w:pPr>
        <w:pStyle w:val="Compact"/>
        <w:numPr>
          <w:ilvl w:val="0"/>
          <w:numId w:val="1005"/>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005"/>
        </w:numPr>
      </w:pPr>
      <w:r>
        <w:t xml:space="preserve">§11.4.7 — demotion-evidence rule (3/3 deterministic-consistency</w:t>
      </w:r>
      <w:r>
        <w:t xml:space="preserve"> </w:t>
      </w:r>
      <w:r>
        <w:t xml:space="preserve">closes the demotion-bluff path).</w:t>
      </w:r>
    </w:p>
    <w:p>
      <w:pPr>
        <w:pStyle w:val="Compact"/>
        <w:numPr>
          <w:ilvl w:val="0"/>
          <w:numId w:val="1005"/>
        </w:numPr>
      </w:pPr>
      <w:r>
        <w:t xml:space="preserve">§11.4.9 — batch-source-fixes-before-rebuild (Stage 2 → Stage 3</w:t>
      </w:r>
      <w:r>
        <w:t xml:space="preserve"> </w:t>
      </w:r>
      <w:r>
        <w:t xml:space="preserve">batch threshold).</w:t>
      </w:r>
    </w:p>
    <w:p>
      <w:pPr>
        <w:pStyle w:val="Compact"/>
        <w:numPr>
          <w:ilvl w:val="0"/>
          <w:numId w:val="1005"/>
        </w:numPr>
      </w:pPr>
      <w:r>
        <w:t xml:space="preserve">§11.4.15 + §11.4.16 + §11.4.33 — PWU status + type vocabulary +</w:t>
      </w:r>
      <w:r>
        <w:t xml:space="preserve"> </w:t>
      </w:r>
      <w:r>
        <w:t xml:space="preserve">type-aware closure terminal value.</w:t>
      </w:r>
    </w:p>
    <w:p>
      <w:pPr>
        <w:pStyle w:val="Compact"/>
        <w:numPr>
          <w:ilvl w:val="0"/>
          <w:numId w:val="1005"/>
        </w:numPr>
      </w:pPr>
      <w:r>
        <w:t xml:space="preserve">§11.4.19 — atomic Issues.md → Fixed.md migration on PWU closure.</w:t>
      </w:r>
    </w:p>
    <w:p>
      <w:pPr>
        <w:pStyle w:val="Compact"/>
        <w:numPr>
          <w:ilvl w:val="0"/>
          <w:numId w:val="1005"/>
        </w:numPr>
      </w:pPr>
      <w:r>
        <w:t xml:space="preserve">§11.4.41 — Pre-Force-Push Merge-First 4-step pipeline at Stage 2 entry.</w:t>
      </w:r>
    </w:p>
    <w:p>
      <w:pPr>
        <w:pStyle w:val="Compact"/>
        <w:numPr>
          <w:ilvl w:val="0"/>
          <w:numId w:val="1005"/>
        </w:numPr>
      </w:pPr>
      <w:r>
        <w:t xml:space="preserve">§11.4.42 — Iteration-discipline (PWU pipeline IS the iteration</w:t>
      </w:r>
      <w:r>
        <w:t xml:space="preserve"> </w:t>
      </w:r>
      <w:r>
        <w:t xml:space="preserve">conductor; §11.4.58 binds steps 1-5 to PWU stages 1-5).</w:t>
      </w:r>
    </w:p>
    <w:p>
      <w:pPr>
        <w:pStyle w:val="Compact"/>
        <w:numPr>
          <w:ilvl w:val="0"/>
          <w:numId w:val="1005"/>
        </w:numPr>
      </w:pPr>
      <w:r>
        <w:t xml:space="preserve">§11.4.43 — TDD RED-first per-PWU enforced at merge time.</w:t>
      </w:r>
    </w:p>
    <w:p>
      <w:pPr>
        <w:pStyle w:val="Compact"/>
        <w:numPr>
          <w:ilvl w:val="0"/>
          <w:numId w:val="1005"/>
        </w:numPr>
      </w:pPr>
      <w:r>
        <w:t xml:space="preserve">§11.4.45 — Integration-status-doc maintenance (PWU's Status.md</w:t>
      </w:r>
      <w:r>
        <w:t xml:space="preserve"> </w:t>
      </w:r>
      <w:r>
        <w:t xml:space="preserve">updated at every stage transition).</w:t>
      </w:r>
    </w:p>
    <w:p>
      <w:pPr>
        <w:pStyle w:val="Compact"/>
        <w:numPr>
          <w:ilvl w:val="0"/>
          <w:numId w:val="1005"/>
        </w:numPr>
      </w:pPr>
      <w:r>
        <w:t xml:space="preserve">§11.4.49 — Dual-approach testing (PWU MUST ship both UI-driven AND</w:t>
      </w:r>
      <w:r>
        <w:t xml:space="preserve"> </w:t>
      </w:r>
      <w:r>
        <w:t xml:space="preserve">Intent/Broadcast-driven variants when applicable).</w:t>
      </w:r>
    </w:p>
    <w:p>
      <w:pPr>
        <w:pStyle w:val="Compact"/>
        <w:numPr>
          <w:ilvl w:val="0"/>
          <w:numId w:val="1005"/>
        </w:numPr>
      </w:pPr>
      <w:r>
        <w:t xml:space="preserve">§11.4.50 — Deterministic-consistency (3-iter normal / 10-iter</w:t>
      </w:r>
      <w:r>
        <w:t xml:space="preserve"> </w:t>
      </w:r>
      <w:r>
        <w:t xml:space="preserve">cycle-validation merge-time enforcement).</w:t>
      </w:r>
    </w:p>
    <w:p>
      <w:pPr>
        <w:pStyle w:val="Compact"/>
        <w:numPr>
          <w:ilvl w:val="0"/>
          <w:numId w:val="1005"/>
        </w:numPr>
      </w:pPr>
      <w:r>
        <w:t xml:space="preserve">§11.4.52 — Autonomous-validation (PWU's on-device test MUST run</w:t>
      </w:r>
      <w:r>
        <w:t xml:space="preserve"> </w:t>
      </w:r>
      <w:r>
        <w:t xml:space="preserve">without operator presence per Stage 4 parallel design).</w:t>
      </w:r>
    </w:p>
    <w:p>
      <w:pPr>
        <w:pStyle w:val="Compact"/>
        <w:numPr>
          <w:ilvl w:val="0"/>
          <w:numId w:val="1005"/>
        </w:numPr>
      </w:pPr>
      <w:r>
        <w:t xml:space="preserve">§11.4.54 — ATM-NNN ticket identifier (PWU identifier replaces</w:t>
      </w:r>
      <w:r>
        <w:t xml:space="preserve"> </w:t>
      </w:r>
      <w:r>
        <w:t xml:space="preserve">Phase 39.X letters).</w:t>
      </w:r>
    </w:p>
    <w:p>
      <w:pPr>
        <w:pStyle w:val="Compact"/>
        <w:numPr>
          <w:ilvl w:val="0"/>
          <w:numId w:val="1005"/>
        </w:numPr>
      </w:pPr>
      <w:r>
        <w:t xml:space="preserve">§11.4.57 — README.md doc-link refresh at Stage 5.</w:t>
      </w:r>
    </w:p>
    <w:p>
      <w:pPr>
        <w:pStyle w:val="Compact"/>
        <w:numPr>
          <w:ilvl w:val="0"/>
          <w:numId w:val="1005"/>
        </w:numPr>
      </w:pPr>
      <w:r>
        <w:t xml:space="preserve">§12.6 — 60% memory-budget ceiling (caps concurrent agent count).</w:t>
      </w:r>
    </w:p>
    <w:p>
      <w:pPr>
        <w:pStyle w:val="Compact"/>
        <w:numPr>
          <w:ilvl w:val="0"/>
          <w:numId w:val="1005"/>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005"/>
        </w:numPr>
      </w:pPr>
      <w:r>
        <w:t xml:space="preserve">§12.8 + §12.8b + §12.8c — concurrency hardening (Stage 3 preflight</w:t>
      </w:r>
      <w:r>
        <w:t xml:space="preserve"> </w:t>
      </w:r>
      <w:r>
        <w:t xml:space="preserve">refuses on running gradle/kotlin/git-pack-objects/load-per-cpu spike).</w:t>
      </w:r>
    </w:p>
    <w:p>
      <w:pPr>
        <w:pStyle w:val="Compact"/>
        <w:numPr>
          <w:ilvl w:val="0"/>
          <w:numId w:val="1005"/>
        </w:numPr>
      </w:pPr>
      <w:r>
        <w:t xml:space="preserve">§12.10 — CONTINUATION.md maintenance (conductor owns the file by</w:t>
      </w:r>
      <w:r>
        <w:t xml:space="preserve"> </w:t>
      </w:r>
      <w:r>
        <w:t xml:space="preserve">§3.4 forbidden cross-PWU rule).</w:t>
      </w:r>
    </w:p>
    <w:p>
      <w:pPr>
        <w:pStyle w:val="Compact"/>
        <w:numPr>
          <w:ilvl w:val="0"/>
          <w:numId w:val="1005"/>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006"/>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006"/>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006"/>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006"/>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006"/>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007"/>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007"/>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007"/>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007"/>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007"/>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008"/>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10">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11"/>
    <w:bookmarkStart w:id="12"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009"/>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009"/>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009"/>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009"/>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009"/>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009"/>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009"/>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009"/>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009"/>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009"/>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009"/>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010"/>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010"/>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010"/>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010"/>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010"/>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010"/>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010"/>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010"/>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011"/>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012"/>
        </w:numPr>
      </w:pPr>
      <w:r>
        <w:t xml:space="preserve">(A) MD work + (E) constitution edits + (F) commits: conductor-direct (lightweight + critical-state sequencing).</w:t>
      </w:r>
    </w:p>
    <w:p>
      <w:pPr>
        <w:pStyle w:val="Compact"/>
        <w:numPr>
          <w:ilvl w:val="0"/>
          <w:numId w:val="1012"/>
        </w:numPr>
      </w:pPr>
      <w:r>
        <w:t xml:space="preserve">(B) generator/helper work + (C) gate authoring + (D) on-device test authoring + (G) live-ADB probes + (I) web research + (J) DB ops: subagent-dispatchable per §11.4.20.</w:t>
      </w:r>
    </w:p>
    <w:p>
      <w:pPr>
        <w:pStyle w:val="Compact"/>
        <w:numPr>
          <w:ilvl w:val="0"/>
          <w:numId w:val="1012"/>
        </w:numPr>
      </w:pPr>
      <w:r>
        <w:t xml:space="preserve">(H) is itself the subagent dispatch — composes with the rest.</w:t>
      </w:r>
    </w:p>
    <w:p>
      <w:pPr>
        <w:pStyle w:val="Compact"/>
        <w:numPr>
          <w:ilvl w:val="0"/>
          <w:numId w:val="1012"/>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2"/>
    <w:bookmarkStart w:id="1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3"/>
    <w:bookmarkStart w:id="14"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4"/>
    <w:bookmarkStart w:id="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5"/>
    <w:bookmarkStart w:id="1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7"/>
    <w:bookmarkStart w:id="18"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8"/>
    <w:bookmarkStart w:id="19"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19"/>
    <w:bookmarkStart w:id="20"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20"/>
    <w:bookmarkStart w:id="21"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1"/>
    <w:bookmarkStart w:id="22"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2"/>
    <w:bookmarkStart w:id="2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013"/>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013"/>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013"/>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013"/>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013"/>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014"/>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014"/>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014"/>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014"/>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014"/>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015"/>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015"/>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015"/>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016"/>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016"/>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016"/>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016"/>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23"/>
    <w:bookmarkStart w:id="24" w:name="X640b987b10e4125fcb31e634132cde704275e3c"/>
    <w:p>
      <w:pPr>
        <w:pStyle w:val="Heading3"/>
      </w:pPr>
      <w:r>
        <w:t xml:space="preserve">§12.1 Forbidden operations — directly OR indirectly</w:t>
      </w:r>
    </w:p>
    <w:p>
      <w:pPr>
        <w:pStyle w:val="Compact"/>
        <w:numPr>
          <w:ilvl w:val="0"/>
          <w:numId w:val="1017"/>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017"/>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17"/>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17"/>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017"/>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17"/>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4"/>
    <w:bookmarkStart w:id="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018"/>
        </w:numPr>
      </w:pPr>
      <w:r>
        <w:t xml:space="preserve">Source the project's host-safety helper library at the top.</w:t>
      </w:r>
    </w:p>
    <w:p>
      <w:pPr>
        <w:pStyle w:val="Compact"/>
        <w:numPr>
          <w:ilvl w:val="0"/>
          <w:numId w:val="1018"/>
        </w:numPr>
      </w:pPr>
      <w:r>
        <w:t xml:space="preserve">Call its pre-flight check and</w:t>
      </w:r>
      <w:r>
        <w:t xml:space="preserve"> </w:t>
      </w:r>
      <w:r>
        <w:rPr>
          <w:b/>
          <w:bCs/>
        </w:rPr>
        <w:t xml:space="preserve">abort if it fails</w:t>
      </w:r>
      <w:r>
        <w:t xml:space="preserve">.</w:t>
      </w:r>
    </w:p>
    <w:p>
      <w:pPr>
        <w:pStyle w:val="Compact"/>
        <w:numPr>
          <w:ilvl w:val="0"/>
          <w:numId w:val="1018"/>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018"/>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5"/>
    <w:bookmarkStart w:id="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019"/>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19"/>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19"/>
        </w:numPr>
      </w:pPr>
      <w:r>
        <w:t xml:space="preserve">Use exponential-backoff restart policies, never immediate retry.</w:t>
      </w:r>
    </w:p>
    <w:p>
      <w:pPr>
        <w:pStyle w:val="Compact"/>
        <w:numPr>
          <w:ilvl w:val="0"/>
          <w:numId w:val="1019"/>
        </w:numPr>
      </w:pPr>
      <w:r>
        <w:t xml:space="preserve">Be clean-slate destroyed and rebuilt after any host crash or</w:t>
      </w:r>
      <w:r>
        <w:t xml:space="preserve"> </w:t>
      </w:r>
      <w:r>
        <w:t xml:space="preserve">session loss so stale lock files don't keep producing failures.</w:t>
      </w:r>
    </w:p>
    <w:bookmarkEnd w:id="26"/>
    <w:bookmarkStart w:id="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020"/>
        </w:numPr>
      </w:pPr>
      <w:r>
        <w:rPr>
          <w:rStyle w:val="VerbatimChar"/>
        </w:rPr>
        <w:t xml:space="preserve">HOST_SAFETY_MAX_MEM_PCT</w:t>
      </w:r>
      <w:r>
        <w:t xml:space="preserve"> </w:t>
      </w:r>
      <w:r>
        <w:t xml:space="preserve">defaults to 60.</w:t>
      </w:r>
    </w:p>
    <w:p>
      <w:pPr>
        <w:pStyle w:val="Compact"/>
        <w:numPr>
          <w:ilvl w:val="0"/>
          <w:numId w:val="1020"/>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020"/>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020"/>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020"/>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7"/>
    <w:bookmarkStart w:id="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021"/>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021"/>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021"/>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021"/>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021"/>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021"/>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8"/>
    <w:bookmarkStart w:id="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9"/>
    <w:bookmarkStart w:id="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30"/>
    <w:bookmarkStart w:id="36"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022"/>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022"/>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022"/>
        </w:numPr>
      </w:pPr>
      <w:r>
        <w:t xml:space="preserve">Open-source mutation testers worth studying:</w:t>
      </w:r>
    </w:p>
    <w:p>
      <w:pPr>
        <w:pStyle w:val="Compact"/>
        <w:numPr>
          <w:ilvl w:val="1"/>
          <w:numId w:val="1023"/>
        </w:numPr>
      </w:pPr>
      <w:r>
        <w:rPr>
          <w:b/>
          <w:bCs/>
        </w:rPr>
        <w:t xml:space="preserve">PIT</w:t>
      </w:r>
      <w:r>
        <w:t xml:space="preserve"> </w:t>
      </w:r>
      <w:r>
        <w:t xml:space="preserve">(Java) —</w:t>
      </w:r>
      <w:r>
        <w:t xml:space="preserve"> </w:t>
      </w:r>
      <w:hyperlink r:id="rId31">
        <w:r>
          <w:rPr>
            <w:rStyle w:val="Hyperlink"/>
          </w:rPr>
          <w:t xml:space="preserve">https://pitest.org/</w:t>
        </w:r>
      </w:hyperlink>
    </w:p>
    <w:p>
      <w:pPr>
        <w:pStyle w:val="Compact"/>
        <w:numPr>
          <w:ilvl w:val="1"/>
          <w:numId w:val="1023"/>
        </w:numPr>
      </w:pPr>
      <w:r>
        <w:rPr>
          <w:b/>
          <w:bCs/>
        </w:rPr>
        <w:t xml:space="preserve">Stryker</w:t>
      </w:r>
      <w:r>
        <w:t xml:space="preserve"> </w:t>
      </w:r>
      <w:r>
        <w:t xml:space="preserve">(JS / C# / Scala) —</w:t>
      </w:r>
      <w:r>
        <w:t xml:space="preserve"> </w:t>
      </w:r>
      <w:hyperlink r:id="rId32">
        <w:r>
          <w:rPr>
            <w:rStyle w:val="Hyperlink"/>
          </w:rPr>
          <w:t xml:space="preserve">https://stryker-mutator.io/</w:t>
        </w:r>
      </w:hyperlink>
    </w:p>
    <w:p>
      <w:pPr>
        <w:pStyle w:val="Compact"/>
        <w:numPr>
          <w:ilvl w:val="1"/>
          <w:numId w:val="1023"/>
        </w:numPr>
      </w:pPr>
      <w:r>
        <w:rPr>
          <w:b/>
          <w:bCs/>
        </w:rPr>
        <w:t xml:space="preserve">Cosmic Ray</w:t>
      </w:r>
      <w:r>
        <w:t xml:space="preserve"> </w:t>
      </w:r>
      <w:r>
        <w:t xml:space="preserve">(Python) —</w:t>
      </w:r>
      <w:r>
        <w:t xml:space="preserve"> </w:t>
      </w:r>
      <w:hyperlink r:id="rId33">
        <w:r>
          <w:rPr>
            <w:rStyle w:val="Hyperlink"/>
          </w:rPr>
          <w:t xml:space="preserve">https://github.com/sixty-north/cosmic-ray</w:t>
        </w:r>
      </w:hyperlink>
    </w:p>
    <w:p>
      <w:pPr>
        <w:pStyle w:val="Compact"/>
        <w:numPr>
          <w:ilvl w:val="1"/>
          <w:numId w:val="1023"/>
        </w:numPr>
      </w:pPr>
      <w:r>
        <w:rPr>
          <w:b/>
          <w:bCs/>
        </w:rPr>
        <w:t xml:space="preserve">mutmut</w:t>
      </w:r>
      <w:r>
        <w:t xml:space="preserve"> </w:t>
      </w:r>
      <w:r>
        <w:t xml:space="preserve">(Python) —</w:t>
      </w:r>
      <w:r>
        <w:t xml:space="preserve"> </w:t>
      </w:r>
      <w:hyperlink r:id="rId34">
        <w:r>
          <w:rPr>
            <w:rStyle w:val="Hyperlink"/>
          </w:rPr>
          <w:t xml:space="preserve">https://mutmut.readthedocs.io/</w:t>
        </w:r>
      </w:hyperlink>
    </w:p>
    <w:p>
      <w:pPr>
        <w:pStyle w:val="Compact"/>
        <w:numPr>
          <w:ilvl w:val="1"/>
          <w:numId w:val="1023"/>
        </w:numPr>
      </w:pPr>
      <w:r>
        <w:rPr>
          <w:b/>
          <w:bCs/>
        </w:rPr>
        <w:t xml:space="preserve">mull</w:t>
      </w:r>
      <w:r>
        <w:t xml:space="preserve"> </w:t>
      </w:r>
      <w:r>
        <w:t xml:space="preserve">(LLVM-IR) —</w:t>
      </w:r>
      <w:r>
        <w:t xml:space="preserve"> </w:t>
      </w:r>
      <w:hyperlink r:id="rId35">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36"/>
    <w:bookmarkStart w:id="37"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cs/guides/PARALLEL_DEVELOPMENT_METHODOLOGY.md" TargetMode="External" /><Relationship Type="http://schemas.openxmlformats.org/officeDocument/2006/relationships/hyperlink" Id="rId16" Target="Constitution.md" TargetMode="External" /><Relationship Type="http://schemas.openxmlformats.org/officeDocument/2006/relationships/hyperlink" Id="rId33" Target="https://github.com/sixty-north/cosmic-ray" TargetMode="External" /><Relationship Type="http://schemas.openxmlformats.org/officeDocument/2006/relationships/hyperlink" Id="rId35" Target="https://mull.readthedocs.io/" TargetMode="External" /><Relationship Type="http://schemas.openxmlformats.org/officeDocument/2006/relationships/hyperlink" Id="rId34" Target="https://mutmut.readthedocs.io/" TargetMode="External" /><Relationship Type="http://schemas.openxmlformats.org/officeDocument/2006/relationships/hyperlink" Id="rId31" Target="https://pitest.org/" TargetMode="External" /><Relationship Type="http://schemas.openxmlformats.org/officeDocument/2006/relationships/hyperlink" Id="rId32" Target="https://stryker-mutator.io/" TargetMode="External" /></Relationships>
</file>

<file path=word/_rels/footnotes.xml.rels><?xml version="1.0" encoding="UTF-8"?><Relationships xmlns="http://schemas.openxmlformats.org/package/2006/relationships"><Relationship Type="http://schemas.openxmlformats.org/officeDocument/2006/relationships/hyperlink" Id="rId10" Target="../../docs/guides/PARALLEL_DEVELOPMENT_METHODOLOGY.md" TargetMode="External" /><Relationship Type="http://schemas.openxmlformats.org/officeDocument/2006/relationships/hyperlink" Id="rId16" Target="Constitution.md" TargetMode="External" /><Relationship Type="http://schemas.openxmlformats.org/officeDocument/2006/relationships/hyperlink" Id="rId33" Target="https://github.com/sixty-north/cosmic-ray" TargetMode="External" /><Relationship Type="http://schemas.openxmlformats.org/officeDocument/2006/relationships/hyperlink" Id="rId35" Target="https://mull.readthedocs.io/" TargetMode="External" /><Relationship Type="http://schemas.openxmlformats.org/officeDocument/2006/relationships/hyperlink" Id="rId34" Target="https://mutmut.readthedocs.io/" TargetMode="External" /><Relationship Type="http://schemas.openxmlformats.org/officeDocument/2006/relationships/hyperlink" Id="rId31" Target="https://pitest.org/" TargetMode="External" /><Relationship Type="http://schemas.openxmlformats.org/officeDocument/2006/relationships/hyperlink" Id="rId32" Target="https://stryker-mutato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2026-09-26T10:51:58Z</dcterms:created>
  <dcterms:modified xsi:type="dcterms:W3CDTF">2026-09-26T10:51:58Z</dcterms:modified>
</cp:coreProperties>
</file>

<file path=docProps/custom.xml><?xml version="1.0" encoding="utf-8"?>
<Properties xmlns="http://schemas.openxmlformats.org/officeDocument/2006/custom-properties" xmlns:vt="http://schemas.openxmlformats.org/officeDocument/2006/docPropsVTypes"/>
</file>