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orkable-items-and-tracking"/>
    <w:p>
      <w:pPr>
        <w:pStyle w:val="Heading1"/>
      </w:pPr>
      <w:r>
        <w:t xml:space="preserve">Workable Items And Tracking</w:t>
      </w:r>
    </w:p>
    <w:bookmarkStart w:id="9"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9"/>
    <w:bookmarkStart w:id="10"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10"/>
    <w:bookmarkStart w:id="11"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01"/>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01"/>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01"/>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01"/>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01"/>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02"/>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02"/>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02"/>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02"/>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03"/>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03"/>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11"/>
    <w:bookmarkStart w:id="12"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12"/>
    <w:bookmarkStart w:id="13"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04"/>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04"/>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4"/>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4"/>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13"/>
    <w:bookmarkStart w:id="1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005"/>
        </w:numPr>
      </w:pPr>
      <w:r>
        <w:rPr>
          <w:b/>
          <w:bCs/>
        </w:rPr>
        <w:t xml:space="preserve">Renumbered</w:t>
      </w:r>
      <w:r>
        <w:t xml:space="preserve"> </w:t>
      </w:r>
      <w:r>
        <w:t xml:space="preserve">— the bind is permanent.</w:t>
      </w:r>
    </w:p>
    <w:p>
      <w:pPr>
        <w:pStyle w:val="Compact"/>
        <w:numPr>
          <w:ilvl w:val="0"/>
          <w:numId w:val="1005"/>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005"/>
        </w:numPr>
      </w:pPr>
      <w:r>
        <w:rPr>
          <w:b/>
          <w:bCs/>
        </w:rPr>
        <w:t xml:space="preserve">Decremented</w:t>
      </w:r>
      <w:r>
        <w:t xml:space="preserve"> </w:t>
      </w:r>
      <w:r>
        <w:t xml:space="preserve">— counter is monotonic-only.</w:t>
      </w:r>
    </w:p>
    <w:p>
      <w:pPr>
        <w:pStyle w:val="Compact"/>
        <w:numPr>
          <w:ilvl w:val="0"/>
          <w:numId w:val="1005"/>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006"/>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006"/>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006"/>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006"/>
        </w:numPr>
      </w:pPr>
      <w:r>
        <w:t xml:space="preserve">§11.4.57 (README.md doc-link section) — every Issues / Fixed item</w:t>
      </w:r>
      <w:r>
        <w:t xml:space="preserve"> </w:t>
      </w:r>
      <w:r>
        <w:t xml:space="preserve">may be linked by ATM-NNN in external references.</w:t>
      </w:r>
    </w:p>
    <w:p>
      <w:pPr>
        <w:pStyle w:val="Compact"/>
        <w:numPr>
          <w:ilvl w:val="0"/>
          <w:numId w:val="1006"/>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007"/>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007"/>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007"/>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007"/>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008"/>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008"/>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008"/>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008"/>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14"/>
    <w:bookmarkStart w:id="1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009"/>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009"/>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009"/>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009"/>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010"/>
        </w:numPr>
      </w:pPr>
      <w:r>
        <w:rPr>
          <w:b/>
          <w:bCs/>
        </w:rPr>
        <w:t xml:space="preserve">On:</w:t>
      </w:r>
      <w:r>
        <w:t xml:space="preserve"> </w:t>
      </w:r>
      <w:r>
        <w:t xml:space="preserve">ISO date.</w:t>
      </w:r>
    </w:p>
    <w:p>
      <w:pPr>
        <w:pStyle w:val="Compact"/>
        <w:numPr>
          <w:ilvl w:val="1"/>
          <w:numId w:val="1010"/>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010"/>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010"/>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010"/>
        </w:numPr>
      </w:pPr>
      <w:r>
        <w:rPr>
          <w:b/>
          <w:bCs/>
        </w:rPr>
        <w:t xml:space="preserve">Outcome:</w:t>
      </w:r>
      <w:r>
        <w:t xml:space="preserve"> </w:t>
      </w:r>
      <w:r>
        <w:t xml:space="preserve">what the next state transition was.</w:t>
      </w:r>
    </w:p>
    <w:p>
      <w:pPr>
        <w:pStyle w:val="Compact"/>
        <w:numPr>
          <w:ilvl w:val="0"/>
          <w:numId w:val="1009"/>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009"/>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011"/>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011"/>
        </w:numPr>
      </w:pPr>
      <w:r>
        <w:t xml:space="preserve">§11.4.54 (ATM-NNN) provides the stable identifier so the per-</w:t>
      </w:r>
      <w:r>
        <w:t xml:space="preserve"> </w:t>
      </w:r>
      <w:r>
        <w:t xml:space="preserve">item doc has a permanent path even after Issues→Fixed migration.</w:t>
      </w:r>
    </w:p>
    <w:p>
      <w:pPr>
        <w:pStyle w:val="Compact"/>
        <w:numPr>
          <w:ilvl w:val="0"/>
          <w:numId w:val="1011"/>
        </w:numPr>
      </w:pPr>
      <w:r>
        <w:t xml:space="preserve">§11.4.44 (revision header) applies to every Reopens.md.</w:t>
      </w:r>
    </w:p>
    <w:p>
      <w:pPr>
        <w:pStyle w:val="Compact"/>
        <w:numPr>
          <w:ilvl w:val="0"/>
          <w:numId w:val="1011"/>
        </w:numPr>
      </w:pPr>
      <w:r>
        <w:t xml:space="preserve">§11.4.45 (Status.md per-integration) — the per-item Reopens.md</w:t>
      </w:r>
      <w:r>
        <w:t xml:space="preserve"> </w:t>
      </w:r>
      <w:r>
        <w:t xml:space="preserve">is the item-scoped analogue of the integration-scoped Status.md.</w:t>
      </w:r>
    </w:p>
    <w:p>
      <w:pPr>
        <w:pStyle w:val="Compact"/>
        <w:numPr>
          <w:ilvl w:val="0"/>
          <w:numId w:val="1011"/>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012"/>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012"/>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012"/>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012"/>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013"/>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013"/>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013"/>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013"/>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15"/>
    <w:bookmarkStart w:id="16"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01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01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01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01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6"/>
    <w:bookmarkStart w:id="17"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01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01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01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01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01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016"/>
        </w:numPr>
      </w:pPr>
      <w:r>
        <w:t xml:space="preserve">Bad: "Composes with"</w:t>
      </w:r>
    </w:p>
    <w:p>
      <w:pPr>
        <w:numPr>
          <w:ilvl w:val="0"/>
          <w:numId w:val="1016"/>
        </w:numPr>
      </w:pPr>
      <w:r>
        <w:t xml:space="preserve">Good: "MPV fork comprehensive secondary-display playback + interaction-pattern + chaos test suite (§KB-2)"</w:t>
      </w:r>
    </w:p>
    <w:p>
      <w:pPr>
        <w:numPr>
          <w:ilvl w:val="0"/>
          <w:numId w:val="1016"/>
        </w:numPr>
      </w:pPr>
      <w:r>
        <w:t xml:space="preserve">Bad: "Critical"</w:t>
      </w:r>
    </w:p>
    <w:p>
      <w:pPr>
        <w:numPr>
          <w:ilvl w:val="0"/>
          <w:numId w:val="1016"/>
        </w:numPr>
      </w:pPr>
      <w:r>
        <w:t xml:space="preserve">Good: "HDMI audio total loss with 'command error 1' on D3 post-reflash (Tier 1/2/3 source-side fixes landed, REQUIRES_REBUILD validation pending)"</w:t>
      </w:r>
    </w:p>
    <w:p>
      <w:pPr>
        <w:numPr>
          <w:ilvl w:val="0"/>
          <w:numId w:val="1016"/>
        </w:numPr>
      </w:pPr>
      <w:r>
        <w:t xml:space="preserve">Bad: "§JU"</w:t>
      </w:r>
    </w:p>
    <w:p>
      <w:pPr>
        <w:numPr>
          <w:ilvl w:val="0"/>
          <w:numId w:val="101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7"/>
    <w:bookmarkStart w:id="18"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8"/>
    <w:bookmarkStart w:id="19"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01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017"/>
        </w:numPr>
      </w:pPr>
      <w:r>
        <w:rPr>
          <w:b/>
          <w:bCs/>
        </w:rPr>
        <w:t xml:space="preserve">Schema (mandatory minimum tables):</w:t>
      </w:r>
    </w:p>
    <w:p>
      <w:pPr>
        <w:pStyle w:val="Compact"/>
        <w:numPr>
          <w:ilvl w:val="1"/>
          <w:numId w:val="101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01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01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01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018"/>
        </w:numPr>
      </w:pPr>
      <w:r>
        <w:rPr>
          <w:rStyle w:val="VerbatimChar"/>
        </w:rPr>
        <w:t xml:space="preserve">firebase_metadata</w:t>
      </w:r>
      <w:r>
        <w:t xml:space="preserve"> </w:t>
      </w:r>
      <w:r>
        <w:t xml:space="preserve">— per §11.4.47.</w:t>
      </w:r>
    </w:p>
    <w:p>
      <w:pPr>
        <w:pStyle w:val="Compact"/>
        <w:numPr>
          <w:ilvl w:val="1"/>
          <w:numId w:val="1018"/>
        </w:numPr>
      </w:pPr>
      <w:r>
        <w:rPr>
          <w:rStyle w:val="VerbatimChar"/>
        </w:rPr>
        <w:t xml:space="preserve">meta</w:t>
      </w:r>
      <w:r>
        <w:t xml:space="preserve"> </w:t>
      </w:r>
      <w:r>
        <w:t xml:space="preserve">— schema version, last_sync_direction, last_sync_timestamp, integrity_hash.</w:t>
      </w:r>
    </w:p>
    <w:p>
      <w:pPr>
        <w:numPr>
          <w:ilvl w:val="0"/>
          <w:numId w:val="101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01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01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019"/>
        </w:numPr>
      </w:pPr>
      <w:r>
        <w:rPr>
          <w:rStyle w:val="VerbatimChar"/>
        </w:rPr>
        <w:t xml:space="preserve">workable-items diff</w:t>
      </w:r>
      <w:r>
        <w:t xml:space="preserve"> </w:t>
      </w:r>
      <w:r>
        <w:t xml:space="preserve">— print DB vs MD divergence. Used by pre-build gate.</w:t>
      </w:r>
    </w:p>
    <w:p>
      <w:pPr>
        <w:pStyle w:val="Compact"/>
        <w:numPr>
          <w:ilvl w:val="1"/>
          <w:numId w:val="101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01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01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017"/>
        </w:numPr>
      </w:pPr>
      <w:r>
        <w:rPr>
          <w:b/>
          <w:bCs/>
        </w:rPr>
        <w:t xml:space="preserve">Operational integration:</w:t>
      </w:r>
    </w:p>
    <w:p>
      <w:pPr>
        <w:pStyle w:val="Compact"/>
        <w:numPr>
          <w:ilvl w:val="1"/>
          <w:numId w:val="102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02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02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017"/>
        </w:numPr>
      </w:pPr>
      <w:r>
        <w:rPr>
          <w:b/>
          <w:bCs/>
        </w:rPr>
        <w:t xml:space="preserve">Anti-bluff test coverage</w:t>
      </w:r>
      <w:r>
        <w:t xml:space="preserve"> </w:t>
      </w:r>
      <w:r>
        <w:t xml:space="preserve">(mandatory per §11.4 + §11.4.85 + §11.4.27):</w:t>
      </w:r>
    </w:p>
    <w:p>
      <w:pPr>
        <w:pStyle w:val="Compact"/>
        <w:numPr>
          <w:ilvl w:val="1"/>
          <w:numId w:val="1021"/>
        </w:numPr>
      </w:pPr>
      <w:r>
        <w:t xml:space="preserve">Unit tests for every CRUD operation + every schema invariant.</w:t>
      </w:r>
    </w:p>
    <w:p>
      <w:pPr>
        <w:pStyle w:val="Compact"/>
        <w:numPr>
          <w:ilvl w:val="1"/>
          <w:numId w:val="1021"/>
        </w:numPr>
      </w:pPr>
      <w:r>
        <w:t xml:space="preserve">Integration test: full round-trip MD→DB→MD with byte-identical re-emission (modulo cosmetic-whitespace normalisation per closed-set tolerance).</w:t>
      </w:r>
    </w:p>
    <w:p>
      <w:pPr>
        <w:pStyle w:val="Compact"/>
        <w:numPr>
          <w:ilvl w:val="1"/>
          <w:numId w:val="1021"/>
        </w:numPr>
      </w:pPr>
      <w:r>
        <w:t xml:space="preserve">Stress + chaos per §11.4.85: 1000-row insert / concurrent-write (10 writers) / mid-write SIGKILL / corrupt-DB recovery / disk-full handling.</w:t>
      </w:r>
    </w:p>
    <w:p>
      <w:pPr>
        <w:pStyle w:val="Compact"/>
        <w:numPr>
          <w:ilvl w:val="1"/>
          <w:numId w:val="1021"/>
        </w:numPr>
      </w:pPr>
      <w:r>
        <w:t xml:space="preserve">Paired §1.1 meta-test mutation: strip a CRUD function → unit test FAILs.</w:t>
      </w:r>
    </w:p>
    <w:p>
      <w:pPr>
        <w:pStyle w:val="Compact"/>
        <w:numPr>
          <w:ilvl w:val="1"/>
          <w:numId w:val="102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02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022"/>
        </w:numPr>
      </w:pPr>
      <w:r>
        <w:rPr>
          <w:b/>
          <w:bCs/>
        </w:rPr>
        <w:t xml:space="preserve">Phase 2</w:t>
      </w:r>
      <w:r>
        <w:t xml:space="preserve">: Go binary scaffold + schema DDL committed.</w:t>
      </w:r>
    </w:p>
    <w:p>
      <w:pPr>
        <w:pStyle w:val="Compact"/>
        <w:numPr>
          <w:ilvl w:val="0"/>
          <w:numId w:val="102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02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02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02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9"/>
    <w:bookmarkStart w:id="20"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023"/>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023"/>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023"/>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023"/>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023"/>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20"/>
    <w:bookmarkStart w:id="21"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21"/>
    <w:bookmarkStart w:id="22"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22"/>
    <w:bookmarkStart w:id="24"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4"/>
    <w:bookmarkStart w:id="25"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5"/>
    <w:bookmarkStart w:id="2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3"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2026-09-28T08:06:57Z</dcterms:created>
  <dcterms:modified xsi:type="dcterms:W3CDTF">2026-09-28T08:06:57Z</dcterms:modified>
</cp:coreProperties>
</file>

<file path=docProps/custom.xml><?xml version="1.0" encoding="utf-8"?>
<Properties xmlns="http://schemas.openxmlformats.org/officeDocument/2006/custom-properties" xmlns:vt="http://schemas.openxmlformats.org/officeDocument/2006/docPropsVTypes"/>
</file>