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ti-bluff-and-evidence"/>
    <w:p>
      <w:pPr>
        <w:pStyle w:val="Heading1"/>
      </w:pPr>
      <w:r>
        <w:t xml:space="preserve">Anti Bluff And Evidence</w:t>
      </w:r>
    </w:p>
    <w:bookmarkStart w:id="9"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01"/>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01"/>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01"/>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01"/>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01"/>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9"/>
    <w:bookmarkStart w:id="1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02"/>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02"/>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02"/>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02"/>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02"/>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10"/>
    <w:bookmarkStart w:id="44"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11"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Machine-created evidence at every gate (extension, 2026-08-15 — §11.4.262).</w:t>
      </w:r>
      <w:r>
        <w:t xml:space="preserve"> </w:t>
      </w:r>
      <w:r>
        <w:t xml:space="preserve">Every claim by the System that something WORKS, PASSES, IS VERIFIED, or IS PRODUCTION-READY MUST cite MACHINE-CREATED, MACHINE-VERIFIABLE evidence produced by the gate itself — not an operator's narrative, not "looks fine", not "no error was reported", not a prediction, not a guess, not an assumption. §11.4.262 makes this obligation EXPLICIT at every gate seam and applies §11.4.107(10) self-validating analyzers UNIVERSALLY, not only to AV playback. The captured-evidence family (§11.4.5 / §11.4.69 / §11.4.107) is REFINED from CAPTURED to CAPTURED-AND-MACHINE-VERIFIABLE. Prediction, guessing, and assumption about success are the exact anti-patterns this covenant forbids, at every layer of the System, from the first prompt of the session onward.</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11"/>
    <w:bookmarkStart w:id="12"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03"/>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03"/>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04"/>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04"/>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04"/>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14"/>
    <w:bookmarkStart w:id="15"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05"/>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05"/>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05"/>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05"/>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06"/>
        </w:numPr>
      </w:pPr>
      <w:r>
        <w:rPr>
          <w:b/>
          <w:bCs/>
        </w:rPr>
        <w:t xml:space="preserve">Pre-build / pre-merge gate</w:t>
      </w:r>
      <w:r>
        <w:t xml:space="preserve"> </w:t>
      </w:r>
      <w:r>
        <w:t xml:space="preserve">(source-level catch)</w:t>
      </w:r>
    </w:p>
    <w:p>
      <w:pPr>
        <w:pStyle w:val="Compact"/>
        <w:numPr>
          <w:ilvl w:val="1"/>
          <w:numId w:val="1006"/>
        </w:numPr>
      </w:pPr>
      <w:r>
        <w:rPr>
          <w:b/>
          <w:bCs/>
        </w:rPr>
        <w:t xml:space="preserve">Post-build / packaging gate</w:t>
      </w:r>
      <w:r>
        <w:t xml:space="preserve"> </w:t>
      </w:r>
      <w:r>
        <w:t xml:space="preserve">(artifact-level catch)</w:t>
      </w:r>
    </w:p>
    <w:p>
      <w:pPr>
        <w:pStyle w:val="Compact"/>
        <w:numPr>
          <w:ilvl w:val="1"/>
          <w:numId w:val="1006"/>
        </w:numPr>
      </w:pPr>
      <w:r>
        <w:rPr>
          <w:b/>
          <w:bCs/>
        </w:rPr>
        <w:t xml:space="preserve">Runtime / on-device test</w:t>
      </w:r>
      <w:r>
        <w:t xml:space="preserve"> </w:t>
      </w:r>
      <w:r>
        <w:t xml:space="preserve">(end-user-behaviour catch)</w:t>
      </w:r>
    </w:p>
    <w:p>
      <w:pPr>
        <w:pStyle w:val="Compact"/>
        <w:numPr>
          <w:ilvl w:val="1"/>
          <w:numId w:val="1006"/>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05"/>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05"/>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05"/>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05"/>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05"/>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15"/>
    <w:bookmarkStart w:id="16"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07"/>
        </w:numPr>
      </w:pPr>
      <w:r>
        <w:rPr>
          <w:b/>
          <w:bCs/>
        </w:rPr>
        <w:t xml:space="preserve">Presence</w:t>
      </w:r>
      <w:r>
        <w:t xml:space="preserve"> </w:t>
      </w:r>
      <w:r>
        <w:t xml:space="preserve">— non-trivial RMS amplitude in captured output.</w:t>
      </w:r>
    </w:p>
    <w:p>
      <w:pPr>
        <w:pStyle w:val="Compact"/>
        <w:numPr>
          <w:ilvl w:val="0"/>
          <w:numId w:val="1007"/>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07"/>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07"/>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07"/>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08"/>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08"/>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08"/>
        </w:numPr>
      </w:pPr>
      <w:r>
        <w:rPr>
          <w:b/>
          <w:bCs/>
        </w:rPr>
        <w:t xml:space="preserve">Frame health</w:t>
      </w:r>
      <w:r>
        <w:t xml:space="preserve"> </w:t>
      </w:r>
      <w:r>
        <w:t xml:space="preserve">— drop count, jitter, freeze detection, tearing.</w:t>
      </w:r>
    </w:p>
    <w:p>
      <w:pPr>
        <w:pStyle w:val="Compact"/>
        <w:numPr>
          <w:ilvl w:val="0"/>
          <w:numId w:val="1008"/>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08"/>
        </w:numPr>
      </w:pPr>
      <w:r>
        <w:rPr>
          <w:b/>
          <w:bCs/>
        </w:rPr>
        <w:t xml:space="preserve">Resolution + codec</w:t>
      </w:r>
      <w:r>
        <w:t xml:space="preserve"> </w:t>
      </w:r>
      <w:r>
        <w:t xml:space="preserve">— captured dimensions match what the test</w:t>
      </w:r>
      <w:r>
        <w:t xml:space="preserve"> </w:t>
      </w:r>
      <w:r>
        <w:t xml:space="preserve">claims.</w:t>
      </w:r>
    </w:p>
    <w:bookmarkEnd w:id="16"/>
    <w:bookmarkStart w:id="17"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09"/>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09"/>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17"/>
    <w:bookmarkStart w:id="18"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10"/>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10"/>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10"/>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10"/>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18"/>
    <w:bookmarkStart w:id="19"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11"/>
        </w:numPr>
      </w:pPr>
      <w:r>
        <w:t xml:space="preserve">Identity-verified (MAC, serial, UUID match) before consumed as</w:t>
      </w:r>
      <w:r>
        <w:t xml:space="preserve"> </w:t>
      </w:r>
      <w:r>
        <w:t xml:space="preserve">evidence.</w:t>
      </w:r>
    </w:p>
    <w:p>
      <w:pPr>
        <w:pStyle w:val="Compact"/>
        <w:numPr>
          <w:ilvl w:val="0"/>
          <w:numId w:val="1011"/>
        </w:numPr>
      </w:pPr>
      <w:r>
        <w:t xml:space="preserve">Topology-dispatched (§11.4.3) — sink-probe-unreachable → SKIP,</w:t>
      </w:r>
      <w:r>
        <w:t xml:space="preserve"> </w:t>
      </w:r>
      <w:r>
        <w:t xml:space="preserve">never FAIL.</w:t>
      </w:r>
    </w:p>
    <w:p>
      <w:pPr>
        <w:pStyle w:val="Compact"/>
        <w:numPr>
          <w:ilvl w:val="0"/>
          <w:numId w:val="1011"/>
        </w:numPr>
      </w:pPr>
      <w:r>
        <w:t xml:space="preserve">Cross-referenced with the on-source state at a matching</w:t>
      </w:r>
      <w:r>
        <w:t xml:space="preserve"> </w:t>
      </w:r>
      <w:r>
        <w:t xml:space="preserve">wall-clock instant.</w:t>
      </w:r>
    </w:p>
    <w:bookmarkEnd w:id="19"/>
    <w:bookmarkStart w:id="20"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12"/>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12"/>
        </w:numPr>
      </w:pPr>
      <w:r>
        <w:t xml:space="preserve">Splash screens declared in the install metadata.</w:t>
      </w:r>
    </w:p>
    <w:p>
      <w:pPr>
        <w:pStyle w:val="Compact"/>
        <w:numPr>
          <w:ilvl w:val="0"/>
          <w:numId w:val="1012"/>
        </w:numPr>
      </w:pPr>
      <w:r>
        <w:t xml:space="preserve">Application name strings as declared in the install metadata.</w:t>
      </w:r>
    </w:p>
    <w:p>
      <w:pPr>
        <w:pStyle w:val="Compact"/>
        <w:numPr>
          <w:ilvl w:val="0"/>
          <w:numId w:val="1012"/>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20"/>
    <w:bookmarkStart w:id="22"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013"/>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013"/>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013"/>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013"/>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013"/>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013"/>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014"/>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014"/>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014"/>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014"/>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015"/>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015"/>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015"/>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015"/>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22"/>
    <w:bookmarkStart w:id="23"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016"/>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016"/>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016"/>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016"/>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016"/>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016"/>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017"/>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018"/>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018"/>
        </w:numPr>
      </w:pPr>
      <w:r>
        <w:t xml:space="preserve">Verifies the path exists AND is non-empty (</w:t>
      </w:r>
      <w:r>
        <w:rPr>
          <w:rStyle w:val="VerbatimChar"/>
        </w:rPr>
        <w:t xml:space="preserve">[ -s "$path" ]</w:t>
      </w:r>
      <w:r>
        <w:t xml:space="preserve">)</w:t>
      </w:r>
    </w:p>
    <w:p>
      <w:pPr>
        <w:pStyle w:val="Compact"/>
        <w:numPr>
          <w:ilvl w:val="1"/>
          <w:numId w:val="1018"/>
        </w:numPr>
      </w:pPr>
      <w:r>
        <w:t xml:space="preserve">If the path is missing or empty, the helper EXITs the test as</w:t>
      </w:r>
      <w:r>
        <w:t xml:space="preserve"> </w:t>
      </w:r>
      <w:r>
        <w:t xml:space="preserve">FAILed with a diagnostic citing the missing evidence path</w:t>
      </w:r>
    </w:p>
    <w:p>
      <w:pPr>
        <w:pStyle w:val="Compact"/>
        <w:numPr>
          <w:ilvl w:val="1"/>
          <w:numId w:val="1018"/>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018"/>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017"/>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019"/>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019"/>
        </w:numPr>
      </w:pPr>
      <w:r>
        <w:t xml:space="preserve">REJECTs ad-hoc reasons — any string not in the closed set</w:t>
      </w:r>
      <w:r>
        <w:t xml:space="preserve"> </w:t>
      </w:r>
      <w:r>
        <w:t xml:space="preserve">fails the helper at call time</w:t>
      </w:r>
    </w:p>
    <w:p>
      <w:pPr>
        <w:pStyle w:val="Compact"/>
        <w:numPr>
          <w:ilvl w:val="1"/>
          <w:numId w:val="1019"/>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019"/>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019"/>
        </w:numPr>
      </w:pPr>
      <w:r>
        <w:t xml:space="preserve">SKIP remains mechanically distinct from PASS in cycle math</w:t>
      </w:r>
      <w:r>
        <w:t xml:space="preserve"> </w:t>
      </w:r>
      <w:r>
        <w:t xml:space="preserve">(per §11.4.1)</w:t>
      </w:r>
    </w:p>
    <w:p>
      <w:pPr>
        <w:pStyle w:val="Compact"/>
        <w:numPr>
          <w:ilvl w:val="0"/>
          <w:numId w:val="1017"/>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020"/>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020"/>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020"/>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021"/>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021"/>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021"/>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022"/>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022"/>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022"/>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023"/>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023"/>
        </w:numPr>
      </w:pPr>
      <w:r>
        <w:t xml:space="preserve">§11.4.2 (recorded-evidence requirement — Element 2 helper</w:t>
      </w:r>
      <w:r>
        <w:t xml:space="preserve"> </w:t>
      </w:r>
      <w:r>
        <w:t xml:space="preserve">contracts make captured evidence mechanically required per PASS)</w:t>
      </w:r>
    </w:p>
    <w:p>
      <w:pPr>
        <w:pStyle w:val="Compact"/>
        <w:numPr>
          <w:ilvl w:val="0"/>
          <w:numId w:val="1023"/>
        </w:numPr>
      </w:pPr>
      <w:r>
        <w:t xml:space="preserve">§11.4.5 (audio + video quality 5-layer — §11.4.69 enforces that</w:t>
      </w:r>
      <w:r>
        <w:t xml:space="preserve"> </w:t>
      </w:r>
      <w:r>
        <w:t xml:space="preserve">the layers are exercised before PASS via the taxonomy probe)</w:t>
      </w:r>
    </w:p>
    <w:p>
      <w:pPr>
        <w:pStyle w:val="Compact"/>
        <w:numPr>
          <w:ilvl w:val="0"/>
          <w:numId w:val="1023"/>
        </w:numPr>
      </w:pPr>
      <w:r>
        <w:t xml:space="preserve">§11.4.6 (no-guessing — sink-side evidence eliminates "we think</w:t>
      </w:r>
      <w:r>
        <w:t xml:space="preserve"> </w:t>
      </w:r>
      <w:r>
        <w:t xml:space="preserve">audio is routing" guessing; the codec field reads concretely)</w:t>
      </w:r>
    </w:p>
    <w:p>
      <w:pPr>
        <w:pStyle w:val="Compact"/>
        <w:numPr>
          <w:ilvl w:val="0"/>
          <w:numId w:val="1023"/>
        </w:numPr>
      </w:pPr>
      <w:r>
        <w:t xml:space="preserve">§11.4.13 (Arvus sink-side evidence — §11.4.69 mechanically closes</w:t>
      </w:r>
      <w:r>
        <w:t xml:space="preserve"> </w:t>
      </w:r>
      <w:r>
        <w:t xml:space="preserve">the SKIP-fail-open escape §11.4.13 left open)</w:t>
      </w:r>
    </w:p>
    <w:p>
      <w:pPr>
        <w:pStyle w:val="Compact"/>
        <w:numPr>
          <w:ilvl w:val="0"/>
          <w:numId w:val="1023"/>
        </w:numPr>
      </w:pPr>
      <w:r>
        <w:t xml:space="preserve">§11.4.27 (no-fakes-beyond-unit — §11.4.69 adds the runtime hook</w:t>
      </w:r>
      <w:r>
        <w:t xml:space="preserve"> </w:t>
      </w:r>
      <w:r>
        <w:t xml:space="preserve">§11.4.27 lacked)</w:t>
      </w:r>
    </w:p>
    <w:p>
      <w:pPr>
        <w:pStyle w:val="Compact"/>
        <w:numPr>
          <w:ilvl w:val="0"/>
          <w:numId w:val="1023"/>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023"/>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023"/>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024"/>
        </w:numPr>
      </w:pPr>
      <w:r>
        <w:t xml:space="preserve">No</w:t>
      </w:r>
      <w:r>
        <w:t xml:space="preserve"> </w:t>
      </w:r>
      <w:r>
        <w:rPr>
          <w:rStyle w:val="VerbatimChar"/>
        </w:rPr>
        <w:t xml:space="preserve">--skip-evidence</w:t>
      </w:r>
      <w:r>
        <w:t xml:space="preserve"> </w:t>
      </w:r>
      <w:r>
        <w:t xml:space="preserve">flag.</w:t>
      </w:r>
    </w:p>
    <w:p>
      <w:pPr>
        <w:pStyle w:val="Compact"/>
        <w:numPr>
          <w:ilvl w:val="0"/>
          <w:numId w:val="1024"/>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024"/>
        </w:numPr>
      </w:pPr>
      <w:r>
        <w:t xml:space="preserve">No</w:t>
      </w:r>
      <w:r>
        <w:t xml:space="preserve"> </w:t>
      </w:r>
      <w:r>
        <w:rPr>
          <w:rStyle w:val="VerbatimChar"/>
        </w:rPr>
        <w:t xml:space="preserve">--allow-fail-open-skip</w:t>
      </w:r>
      <w:r>
        <w:t xml:space="preserve"> </w:t>
      </w:r>
      <w:r>
        <w:t xml:space="preserve">flag.</w:t>
      </w:r>
    </w:p>
    <w:p>
      <w:pPr>
        <w:pStyle w:val="Compact"/>
        <w:numPr>
          <w:ilvl w:val="0"/>
          <w:numId w:val="1024"/>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024"/>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23"/>
    <w:bookmarkStart w:id="24"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025"/>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025"/>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025"/>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025"/>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025"/>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24"/>
    <w:bookmarkStart w:id="25"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25"/>
    <w:bookmarkStart w:id="26"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026"/>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026"/>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026"/>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026"/>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026"/>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026"/>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026"/>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026"/>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026"/>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026"/>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026"/>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026"/>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026"/>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26"/>
    <w:bookmarkStart w:id="27"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027"/>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027"/>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027"/>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027"/>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027"/>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027"/>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numPr>
          <w:ilvl w:val="0"/>
          <w:numId w:val="1027"/>
        </w:numPr>
      </w:pPr>
      <w:r>
        <w:rPr>
          <w:b/>
          <w:bCs/>
        </w:rPr>
        <w:t xml:space="preserve">Machine-created evidence at every layer (extension, 2026-08-15 — Point 8 of the 9-point mandate).</w:t>
      </w:r>
      <w:r>
        <w:t xml:space="preserve"> </w:t>
      </w:r>
      <w:r>
        <w:t xml:space="preserve">At each of the four verification layers (SOURCE / ARTIFACT / RUNTIME-ON-CLEAN-TARGET / USER-VISIBLE), the layer's PASS MUST cite MACHINE-CREATED, MACHINE-VERIFIABLE evidence PRODUCED AT THAT LAYER by the layer's own gate — a schema-parseable file (static-analysis JSON + review verdict at SOURCE; build log + fingerprint checksum + byte-check at ARTIFACT; on-target verdict + runtime-signature + telemetry at RUNTIME; OCR/vision/audio/sink-probe oracle output at USER-VISIBLE) — cited by path + sha256 + timestamp per §11.4.207. A PASS at a higher layer that cites evidence from a lower layer ALONE is a §11.4.226 wrong-layer violation and does NOT satisfy the higher layer's obligation. Every evidence analyzer is §11.4.107(10) golden-good / golden-bad / negative-control validated; an analyzer that passes its golden-bad fixture voids every verdict it ever emitted (§11.4.201 self-validation). Operator eyeballing, narrative-only PASS, and prediction of success are FORBIDDEN — §11.4.262 binds this at every gate. Propagation: the existing</w:t>
      </w:r>
      <w:r>
        <w:t xml:space="preserve"> </w:t>
      </w:r>
      <w:r>
        <w:rPr>
          <w:rStyle w:val="VerbatimChar"/>
        </w:rPr>
        <w:t xml:space="preserve">CM-COVENANT-114-108-PROPAGATION</w:t>
      </w:r>
      <w:r>
        <w:t xml:space="preserve"> </w:t>
      </w:r>
      <w:r>
        <w:t xml:space="preserve">stays unchanged (literal</w:t>
      </w:r>
      <w:r>
        <w:t xml:space="preserve"> </w:t>
      </w:r>
      <w:r>
        <w:rPr>
          <w:rStyle w:val="VerbatimChar"/>
        </w:rPr>
        <w:t xml:space="preserve">11.4.108</w:t>
      </w:r>
      <w:r>
        <w:t xml:space="preserve"> </w:t>
      </w:r>
      <w:r>
        <w:t xml:space="preserve">unchanged, stays GREEN);</w:t>
      </w:r>
      <w:r>
        <w:t xml:space="preserve"> </w:t>
      </w:r>
      <w:r>
        <w:rPr>
          <w:rStyle w:val="VerbatimChar"/>
        </w:rPr>
        <w:t xml:space="preserve">CM-RUNTIME-SIGNATURE-REGISTRY</w:t>
      </w:r>
      <w:r>
        <w:t xml:space="preserve"> </w:t>
      </w:r>
      <w:r>
        <w:t xml:space="preserve">is EXTENDED with the per-layer machine-evidence-file-schema check; a new paired mutation that forges a runtime PASS whose only evidence is a source-grep transcript → the gate FAILs.</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27"/>
    <w:bookmarkStart w:id="28"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028"/>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028"/>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028"/>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028"/>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028"/>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028"/>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28"/>
    <w:bookmarkStart w:id="2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29"/>
    <w:bookmarkStart w:id="30"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30"/>
    <w:bookmarkStart w:id="31"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31"/>
    <w:bookmarkStart w:id="32"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32"/>
    <w:bookmarkStart w:id="33"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029"/>
        </w:numPr>
      </w:pPr>
      <w:r>
        <w:t xml:space="preserve">The expected output patterns ARE present in the recording (e.g., test PASS lines, API response data, feature-specific output)</w:t>
      </w:r>
    </w:p>
    <w:p>
      <w:pPr>
        <w:pStyle w:val="Compact"/>
        <w:numPr>
          <w:ilvl w:val="0"/>
          <w:numId w:val="1029"/>
        </w:numPr>
      </w:pPr>
      <w:r>
        <w:t xml:space="preserve">The feature ACTUALLY WORKS as demonstrated (not just "something ran")</w:t>
      </w:r>
    </w:p>
    <w:p>
      <w:pPr>
        <w:pStyle w:val="Compact"/>
        <w:numPr>
          <w:ilvl w:val="0"/>
          <w:numId w:val="1029"/>
        </w:numPr>
      </w:pPr>
      <w:r>
        <w:t xml:space="preserve">LLM responses are REAL content (not simulated, not placeholder, not empty)</w:t>
      </w:r>
    </w:p>
    <w:p>
      <w:pPr>
        <w:pStyle w:val="Compact"/>
        <w:numPr>
          <w:ilvl w:val="0"/>
          <w:numId w:val="1029"/>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030"/>
        </w:numPr>
      </w:pPr>
      <w:r>
        <w:t xml:space="preserve">SPECIFY expected content patterns (what SHOULD appear)</w:t>
      </w:r>
    </w:p>
    <w:p>
      <w:pPr>
        <w:pStyle w:val="Compact"/>
        <w:numPr>
          <w:ilvl w:val="0"/>
          <w:numId w:val="1030"/>
        </w:numPr>
      </w:pPr>
      <w:r>
        <w:t xml:space="preserve">RECORD the feature execution</w:t>
      </w:r>
    </w:p>
    <w:p>
      <w:pPr>
        <w:pStyle w:val="Compact"/>
        <w:numPr>
          <w:ilvl w:val="0"/>
          <w:numId w:val="1030"/>
        </w:numPr>
      </w:pPr>
      <w:r>
        <w:t xml:space="preserve">EXTRACT all text from the recording</w:t>
      </w:r>
    </w:p>
    <w:p>
      <w:pPr>
        <w:pStyle w:val="Compact"/>
        <w:numPr>
          <w:ilvl w:val="0"/>
          <w:numId w:val="1030"/>
        </w:numPr>
      </w:pPr>
      <w:r>
        <w:t xml:space="preserve">VERIFY expected patterns are present</w:t>
      </w:r>
    </w:p>
    <w:p>
      <w:pPr>
        <w:pStyle w:val="Compact"/>
        <w:numPr>
          <w:ilvl w:val="0"/>
          <w:numId w:val="1030"/>
        </w:numPr>
      </w:pPr>
      <w:r>
        <w:t xml:space="preserve">CHECK for simulated/placeholder content</w:t>
      </w:r>
    </w:p>
    <w:p>
      <w:pPr>
        <w:pStyle w:val="Compact"/>
        <w:numPr>
          <w:ilvl w:val="0"/>
          <w:numId w:val="1030"/>
        </w:numPr>
      </w:pPr>
      <w:r>
        <w:t xml:space="preserve">ACCEPT only if ALL patterns found AND zero bluffs detected</w:t>
      </w:r>
    </w:p>
    <w:p>
      <w:pPr>
        <w:pStyle w:val="Compact"/>
        <w:numPr>
          <w:ilvl w:val="0"/>
          <w:numId w:val="1030"/>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33"/>
    <w:bookmarkStart w:id="34"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031"/>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031"/>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031"/>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031"/>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031"/>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34"/>
    <w:bookmarkStart w:id="35"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End w:id="35"/>
    <w:bookmarkStart w:id="3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36">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bookmarkEnd w:id="37"/>
    <w:bookmarkStart w:id="3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38"/>
    <w:bookmarkStart w:id="39" w:name="Xd6b9da160ce50f1a44bdddaa39995ac87a8b675"/>
    <w:p>
      <w:pPr>
        <w:pStyle w:val="Heading3"/>
      </w:pPr>
      <w:r>
        <w:t xml:space="preserve">§11.4.262 — Machine-created evidence at every gate: every claim of "works" / "passes" / "verified" cites a captured, machine-derived, machine-verifiable evidence artifact produced by the gate — no operator eyeballing, no narrative-only PASS (BACKGROUND :: REMINDER :: IMPORTANT operator mandate, 2026-08-15)</w:t>
      </w:r>
    </w:p>
    <w:p>
      <w:pPr>
        <w:pStyle w:val="FirstParagraph"/>
      </w:pPr>
      <w:r>
        <w:rPr>
          <w:b/>
          <w:bCs/>
        </w:rPr>
        <w:t xml:space="preserve">Verbatim operator mandate (2026-08-15, Point 8):</w:t>
      </w:r>
      <w:r>
        <w:t xml:space="preserve"> </w:t>
      </w:r>
      <w:r>
        <w:rPr>
          <w:i/>
          <w:iCs/>
        </w:rPr>
        <w:t xml:space="preserve">"There MUST BE no bluff of any kind and in any form anywhere! Everything created MUST BE fully covered with confirmation, validation and verification gates which will assert machine created evidence so there is no prediction or guessing about the success and production ready state of the System!"</w:t>
      </w:r>
    </w:p>
    <w:p>
      <w:pPr>
        <w:pStyle w:val="BodyText"/>
      </w:pPr>
      <w:r>
        <w:rPr>
          <w:b/>
          <w:bCs/>
        </w:rPr>
        <w:t xml:space="preserve">Compact summary:</w:t>
      </w:r>
      <w:r>
        <w:t xml:space="preserve"> </w:t>
      </w:r>
      <w:r>
        <w:t xml:space="preserve">every claim by the System that something WORKS / PASSES / IS VERIFIED / IS PRODUCTION-READY MUST be backed by MACHINE-CREATED, MACHINE-VERIFIABLE evidence — a file / verdict / measurement produced by the gate itself, cited by path + content-hash + timestamp, with a schema an independent verifier can parse (§11.4.226 evidence-class-at-closure applied to EVERY gate, not only closure seams); operator eyeballing, human narrative, "I checked it works", "looks fine", "no error was reported", and every other prediction / guess / assumption about success is FORBIDDEN at the evidence layer (§11.4/§11.4.1/§11.4.6). §11.4.262 STRENGTHENS the §11.4 anti-bluff covenant preamble from "captured evidence" to MACHINE-CREATED evidence (a captured screenshot an operator interpreted is captured but not machine-verified — §11.4.107(10) golden-good/golden-bad self-validating analyzer applies UNIVERSALLY, not only to AV playback), and BINDS §11.4.5/§11.4.69/§11.4.107/§11.4.108/§11.4.115(F)/§11.4.201/§11.4.226 into one universal machine-evidence-at-every-gate discipline. Prediction, guessing, and assumption about success are the exact anti-patterns this anchor forbids.</w:t>
      </w:r>
    </w:p>
    <w:p>
      <w:pPr>
        <w:pStyle w:val="BodyText"/>
      </w:pPr>
      <w:r>
        <w:rPr>
          <w:b/>
          <w:bCs/>
        </w:rPr>
        <w:t xml:space="preserve">(A) THREE-GATE COVERAGE.</w:t>
      </w:r>
      <w:r>
        <w:t xml:space="preserve"> </w:t>
      </w:r>
      <w:r>
        <w:t xml:space="preserve">Every work product passes THREE gate classes each producing machine-created evidence: (1) CONFIRMATION — the change lands correctly (source review, static analysis, format/lint, dependency clash check per §11.4.110); (2) VALIDATION — the change behaves as designed at each of the §11.4.108 four layers (SOURCE / ARTIFACT / RUNTIME / USER-VISIBLE), each producing its own machine-created verdict + evidence artifact; (3) VERIFICATION — the change satisfies its acceptance contract from the user's / operator's / system's point of view (§11.4.185 manual-QA is the human sufficiency gate; §11.4.236 QA-deploy-readiness is the machine sufficiency gate — each with its own captured evidence).</w:t>
      </w:r>
    </w:p>
    <w:p>
      <w:pPr>
        <w:pStyle w:val="BodyText"/>
      </w:pPr>
      <w:r>
        <w:rPr>
          <w:b/>
          <w:bCs/>
        </w:rPr>
        <w:t xml:space="preserve">(B) MACHINE-CREATED — the four properties.</w:t>
      </w:r>
      <w:r>
        <w:t xml:space="preserve"> </w:t>
      </w:r>
      <w:r>
        <w:t xml:space="preserve">Every evidence artifact is (i) PRODUCED BY THE GATE, not authored by the tester (a screenshot the harness took, not one the operator narrated); (ii) MACHINE-VERIFIABLE — a schema-parseable file (JSON verdict, JSONL event stream, structured log, image with an OCR/vision oracle per §11.4.107(11)/§11.4.117, audio with RMS/loudness analysis per §11.4.107(11)) that an INDEPENDENT verifier can re-check without asking the tester; (iii) CONTENT-ADDRESSED — cited by path + sha256 + timestamp (§11.4.207 content-addressed Merkle) so tampering is detectable; (iv) SEMANTIC-CLASS-MATCHED — the evidence class matches the claim layer (§11.4.226 wrong-layer echo forbidden — a source grep transcript can never satisfy a "pixel renders green" claim).</w:t>
      </w:r>
    </w:p>
    <w:p>
      <w:pPr>
        <w:pStyle w:val="BodyText"/>
      </w:pPr>
      <w:r>
        <w:rPr>
          <w:b/>
          <w:bCs/>
        </w:rPr>
        <w:t xml:space="preserve">(C) NO NARRATIVE-ONLY PASS.</w:t>
      </w:r>
      <w:r>
        <w:t xml:space="preserve"> </w:t>
      </w:r>
      <w:r>
        <w:t xml:space="preserve">A PASS whose evidence is a paragraph of natural language authored by an operator or a subagent ("I ran the tests and they all passed", "looks good to me", "manually confirmed") is a §11.4.262 violation — the narrative may accompany the machine evidence but MUST NEVER substitute for it. §11.4.185 manual-QA remains a human-sufficiency gate whose OWN evidence is machine-created (a QA session recording per §11.4.128, a QA checklist file with per-item PASS/FAIL + evidence-path per §11.4.185, a §11.4.238 escape-log if the human found something automation missed).</w:t>
      </w:r>
    </w:p>
    <w:p>
      <w:pPr>
        <w:pStyle w:val="BodyText"/>
      </w:pPr>
      <w:r>
        <w:rPr>
          <w:b/>
          <w:bCs/>
        </w:rPr>
        <w:t xml:space="preserve">(D) SELF-VALIDATED EVIDENCE ANALYZERS.</w:t>
      </w:r>
      <w:r>
        <w:t xml:space="preserve"> </w:t>
      </w:r>
      <w:r>
        <w:t xml:space="preserve">Every evidence analyzer (the parser that reads the machine-created artifact and emits a verdict) is itself golden-good + golden-bad + negative-control validated per §11.4.107(10); an analyzer that PASSes its golden-bad fixture is the bluff and a release-blocker (the §11.4.201 self-validation discipline applied to evidence tooling). Every claim of "works" cites the analyzer's verdict + the raw evidence, so an independent re-run can reproduce the verdict.</w:t>
      </w:r>
    </w:p>
    <w:p>
      <w:pPr>
        <w:pStyle w:val="BodyText"/>
      </w:pPr>
      <w:r>
        <w:rPr>
          <w:b/>
          <w:bCs/>
        </w:rPr>
        <w:t xml:space="preserve">(E) FOUR-LAYER BINDING WITH §11.4.108.</w:t>
      </w:r>
      <w:r>
        <w:t xml:space="preserve"> </w:t>
      </w:r>
      <w:r>
        <w:t xml:space="preserve">At each of the four verification layers (SOURCE / ARTIFACT / RUNTIME-ON-CLEAN-TARGET / USER-VISIBLE), the layer's PASS cites MACHINE-CREATED evidence PRODUCED AT THAT LAYER (source: static-analysis JSON + review-artifact; artifact: build-log + fingerprint-checksum + byte-check of the change's landed bytes; runtime: on-target verdict + captured runtime signature + telemetry; user-visible: OCR/vision oracle output or sink-side probe report per §11.4.13/§11.4.69/§11.4.107). A PASS at a higher layer that cites evidence from a lower layer alone is a §11.4.226 wrong-layer violation — the machine-evidence chain runs THROUGH the layers, never SKIPS.</w:t>
      </w:r>
    </w:p>
    <w:p>
      <w:pPr>
        <w:pStyle w:val="BodyText"/>
      </w:pPr>
      <w:r>
        <w:rPr>
          <w:b/>
          <w:bCs/>
        </w:rPr>
        <w:t xml:space="preserve">(F) STANDING DEFAULT (§11.4.126/§11.4.198).</w:t>
      </w:r>
      <w:r>
        <w:t xml:space="preserve"> </w:t>
      </w:r>
      <w:r>
        <w:t xml:space="preserve">Machine-evidence-at-every-gate is the STANDING DEFAULT posture engaged from the first prompt of the session; every subagent dispatch, every review, every test run, every gate emits its evidence artifact into the project's evidence store (§11.4.207 content-addressed) so the full audit trail is machine-searchable at any time by any operator / subagent / reviewer. Prediction, guessing, and assumption about success are forbidden at the reporting layer as well as the gate layer — a status report that predicts "should pass" without citing a run's evidence is a §11.4/§11.4.1 bluff at the reporting layer.</w:t>
      </w:r>
    </w:p>
    <w:p>
      <w:pPr>
        <w:pStyle w:val="BodyText"/>
      </w:pPr>
      <w:r>
        <w:rPr>
          <w:b/>
          <w:bCs/>
        </w:rPr>
        <w:t xml:space="preserve">Honest boundary (§11.4.6).</w:t>
      </w:r>
      <w:r>
        <w:t xml:space="preserve"> </w:t>
      </w:r>
      <w:r>
        <w:t xml:space="preserve">§11.4.262 mandates every gate's PASS is BACKED by machine-created evidence + the analyzer is self-validated; it does NOT claim machine evidence proves human satisfaction (§11.4.185 remains, with its own machine-evidence requirement per (C)); it does NOT license shipping when the machine evidence disagrees with reality (a bug the automation missed is a §11.4.238 escape triggering a coverage audit + a vocabulary extension per §11.4.261, not a "the machine said green so we're good" defense). "Machine-created" is bounded to the artifact — the DECISION about whether a gate passed remains policy the humans authored (§11.4.6 no-guessing extends to policy calibration, not to the gate's mechanical execution).</w:t>
      </w:r>
    </w:p>
    <w:p>
      <w:pPr>
        <w:pStyle w:val="BodyText"/>
      </w:pPr>
      <w:r>
        <w:rPr>
          <w:b/>
          <w:bCs/>
        </w:rPr>
        <w:t xml:space="preserve">Classification: universal (§11.4.17).</w:t>
      </w:r>
      <w:r>
        <w:t xml:space="preserve"> </w:t>
      </w:r>
      <w:r>
        <w:t xml:space="preserve">Composes §11.4/§11.4.1 (anti-bluff covenant) / §11.4.5 / §11.4.6 / §11.4.13 / §11.4.15 / §11.4.20 / §11.4.27 / §11.4.50 / §11.4.66 / §11.4.69 / §11.4.85 / §11.4.98 / §11.4.107(10)(11)(12) / §11.4.108 / §11.4.110 / §11.4.115(F) / §11.4.116 / §11.4.117 / §11.4.126 / §11.4.128 / §11.4.135 / §11.4.169 / §11.4.185 / §11.4.198 / §11.4.201 / §11.4.207 / §11.4.226 / §11.4.236 / §11.4.238 / §11.4.259 / §11.4.260 / §11.4.261. Propagation gate</w:t>
      </w:r>
      <w:r>
        <w:t xml:space="preserve"> </w:t>
      </w:r>
      <w:r>
        <w:rPr>
          <w:rStyle w:val="VerbatimChar"/>
        </w:rPr>
        <w:t xml:space="preserve">CM-COVENANT-114-262-PROPAGATION</w:t>
      </w:r>
      <w:r>
        <w:t xml:space="preserve"> </w:t>
      </w:r>
      <w:r>
        <w:t xml:space="preserve">(literal</w:t>
      </w:r>
      <w:r>
        <w:t xml:space="preserve"> </w:t>
      </w:r>
      <w:r>
        <w:rPr>
          <w:rStyle w:val="VerbatimChar"/>
        </w:rPr>
        <w:t xml:space="preserve">11.4.262</w:t>
      </w:r>
      <w:r>
        <w:t xml:space="preserve">) +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39"/>
    <w:bookmarkStart w:id="40"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40"/>
    <w:bookmarkStart w:id="41"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41"/>
    <w:bookmarkStart w:id="42"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42"/>
    <w:bookmarkStart w:id="43"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_rels/footnotes.xml.rels><?xml version="1.0" encoding="UTF-8"?><Relationships xmlns="http://schemas.openxmlformats.org/package/2006/relationships"><Relationship Type="http://schemas.openxmlformats.org/officeDocument/2006/relationships/hyperlink" Id="rId21" Target="Constitution.md" TargetMode="External" /><Relationship Type="http://schemas.openxmlformats.org/officeDocument/2006/relationships/hyperlink" Id="rId36" Target="docs/guides/shell_instrument_footgu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2026-09-26T14:51:00Z</dcterms:created>
  <dcterms:modified xsi:type="dcterms:W3CDTF">2026-09-26T14:51:00Z</dcterms:modified>
</cp:coreProperties>
</file>

<file path=docProps/custom.xml><?xml version="1.0" encoding="utf-8"?>
<Properties xmlns="http://schemas.openxmlformats.org/officeDocument/2006/custom-properties" xmlns:vt="http://schemas.openxmlformats.org/officeDocument/2006/docPropsVTypes"/>
</file>