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documentation-and-export"/>
    <w:p>
      <w:pPr>
        <w:pStyle w:val="Heading1"/>
      </w:pPr>
      <w:r>
        <w:t xml:space="preserve">Documentation And Export</w:t>
      </w:r>
    </w:p>
    <w:bookmarkStart w:id="9"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9"/>
    <w:bookmarkStart w:id="10"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01"/>
        </w:numPr>
      </w:pPr>
      <w:r>
        <w:rPr>
          <w:b/>
          <w:bCs/>
        </w:rPr>
        <w:t xml:space="preserve">In-source documentation block</w:t>
      </w:r>
      <w:r>
        <w:t xml:space="preserve"> </w:t>
      </w:r>
      <w:r>
        <w:t xml:space="preserve">at the top of the file:</w:t>
      </w:r>
    </w:p>
    <w:p>
      <w:pPr>
        <w:pStyle w:val="Compact"/>
        <w:numPr>
          <w:ilvl w:val="1"/>
          <w:numId w:val="1002"/>
        </w:numPr>
      </w:pPr>
      <w:r>
        <w:t xml:space="preserve">Purpose: one-sentence description of what the script does.</w:t>
      </w:r>
    </w:p>
    <w:p>
      <w:pPr>
        <w:pStyle w:val="Compact"/>
        <w:numPr>
          <w:ilvl w:val="1"/>
          <w:numId w:val="1002"/>
        </w:numPr>
      </w:pPr>
      <w:r>
        <w:t xml:space="preserve">Usage: complete invocation syntax with all flags, env vars,</w:t>
      </w:r>
      <w:r>
        <w:t xml:space="preserve"> </w:t>
      </w:r>
      <w:r>
        <w:t xml:space="preserve">positional arguments, examples.</w:t>
      </w:r>
    </w:p>
    <w:p>
      <w:pPr>
        <w:pStyle w:val="Compact"/>
        <w:numPr>
          <w:ilvl w:val="1"/>
          <w:numId w:val="1002"/>
        </w:numPr>
      </w:pPr>
      <w:r>
        <w:t xml:space="preserve">Inputs: env vars, files read, command-line args, stdin.</w:t>
      </w:r>
    </w:p>
    <w:p>
      <w:pPr>
        <w:pStyle w:val="Compact"/>
        <w:numPr>
          <w:ilvl w:val="1"/>
          <w:numId w:val="1002"/>
        </w:numPr>
      </w:pPr>
      <w:r>
        <w:t xml:space="preserve">Outputs: files written, stdout/stderr behaviour, exit codes.</w:t>
      </w:r>
    </w:p>
    <w:p>
      <w:pPr>
        <w:pStyle w:val="Compact"/>
        <w:numPr>
          <w:ilvl w:val="1"/>
          <w:numId w:val="1002"/>
        </w:numPr>
      </w:pPr>
      <w:r>
        <w:t xml:space="preserve">Side-effects: anything that changes system state outside the</w:t>
      </w:r>
      <w:r>
        <w:t xml:space="preserve"> </w:t>
      </w:r>
      <w:r>
        <w:t xml:space="preserve">script's own scratch directory.</w:t>
      </w:r>
    </w:p>
    <w:p>
      <w:pPr>
        <w:pStyle w:val="Compact"/>
        <w:numPr>
          <w:ilvl w:val="1"/>
          <w:numId w:val="1002"/>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02"/>
        </w:numPr>
      </w:pPr>
      <w:r>
        <w:t xml:space="preserve">Cross-references: companion guides under</w:t>
      </w:r>
      <w:r>
        <w:t xml:space="preserve"> </w:t>
      </w:r>
      <w:r>
        <w:rPr>
          <w:rStyle w:val="VerbatimChar"/>
        </w:rPr>
        <w:t xml:space="preserve">docs/</w:t>
      </w:r>
      <w:r>
        <w:t xml:space="preserve">.</w:t>
      </w:r>
    </w:p>
    <w:p>
      <w:pPr>
        <w:numPr>
          <w:ilvl w:val="0"/>
          <w:numId w:val="1001"/>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03"/>
        </w:numPr>
      </w:pPr>
      <w:r>
        <w:rPr>
          <w:b/>
          <w:bCs/>
        </w:rPr>
        <w:t xml:space="preserve">Overview</w:t>
      </w:r>
      <w:r>
        <w:t xml:space="preserve"> </w:t>
      </w:r>
      <w:r>
        <w:t xml:space="preserve">— what the script does in plain English.</w:t>
      </w:r>
    </w:p>
    <w:p>
      <w:pPr>
        <w:pStyle w:val="Compact"/>
        <w:numPr>
          <w:ilvl w:val="1"/>
          <w:numId w:val="1003"/>
        </w:numPr>
      </w:pPr>
      <w:r>
        <w:rPr>
          <w:b/>
          <w:bCs/>
        </w:rPr>
        <w:t xml:space="preserve">Prerequisites</w:t>
      </w:r>
      <w:r>
        <w:t xml:space="preserve"> </w:t>
      </w:r>
      <w:r>
        <w:t xml:space="preserve">— environment + dependencies.</w:t>
      </w:r>
    </w:p>
    <w:p>
      <w:pPr>
        <w:pStyle w:val="Compact"/>
        <w:numPr>
          <w:ilvl w:val="1"/>
          <w:numId w:val="1003"/>
        </w:numPr>
      </w:pPr>
      <w:r>
        <w:rPr>
          <w:b/>
          <w:bCs/>
        </w:rPr>
        <w:t xml:space="preserve">Usage examples</w:t>
      </w:r>
      <w:r>
        <w:t xml:space="preserve"> </w:t>
      </w:r>
      <w:r>
        <w:t xml:space="preserve">— copy-paste recipes for the common cases.</w:t>
      </w:r>
    </w:p>
    <w:p>
      <w:pPr>
        <w:pStyle w:val="Compact"/>
        <w:numPr>
          <w:ilvl w:val="1"/>
          <w:numId w:val="1003"/>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03"/>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03"/>
        </w:numPr>
      </w:pPr>
      <w:r>
        <w:rPr>
          <w:b/>
          <w:bCs/>
        </w:rPr>
        <w:t xml:space="preserve">Related scripts</w:t>
      </w:r>
      <w:r>
        <w:t xml:space="preserve"> </w:t>
      </w:r>
      <w:r>
        <w:t xml:space="preserve">— companion scripts and how they compose.</w:t>
      </w:r>
    </w:p>
    <w:p>
      <w:pPr>
        <w:pStyle w:val="Compact"/>
        <w:numPr>
          <w:ilvl w:val="1"/>
          <w:numId w:val="1003"/>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10"/>
    <w:bookmarkStart w:id="11"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04"/>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05"/>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05"/>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05"/>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04"/>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04"/>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04"/>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06"/>
        </w:numPr>
      </w:pPr>
      <w:r>
        <w:rPr>
          <w:rStyle w:val="VerbatimChar"/>
        </w:rPr>
        <w:t xml:space="preserve">docs/Fixed_Summary.md</w:t>
      </w:r>
      <w:r>
        <w:t xml:space="preserve"> </w:t>
      </w:r>
      <w:r>
        <w:t xml:space="preserve">exists.</w:t>
      </w:r>
    </w:p>
    <w:p>
      <w:pPr>
        <w:pStyle w:val="Compact"/>
        <w:numPr>
          <w:ilvl w:val="0"/>
          <w:numId w:val="1006"/>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06"/>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06"/>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06"/>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06"/>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11"/>
    <w:bookmarkStart w:id="12"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07"/>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07"/>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07"/>
        </w:numPr>
      </w:pPr>
      <w:r>
        <w:t xml:space="preserve">The fixed-bug archive (</w:t>
      </w:r>
      <w:r>
        <w:rPr>
          <w:rStyle w:val="VerbatimChar"/>
        </w:rPr>
        <w:t xml:space="preserve">docs/Fixed.md</w:t>
      </w:r>
      <w:r>
        <w:t xml:space="preserve">) and its HTML + PDF exports.</w:t>
      </w:r>
    </w:p>
    <w:p>
      <w:pPr>
        <w:pStyle w:val="Compact"/>
        <w:numPr>
          <w:ilvl w:val="0"/>
          <w:numId w:val="1007"/>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07"/>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07"/>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08"/>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08"/>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08"/>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08"/>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08"/>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09"/>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12"/>
    <w:bookmarkStart w:id="13"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10"/>
        </w:numPr>
      </w:pPr>
      <w:r>
        <w:t xml:space="preserve">Operator-blocked / Blocker</w:t>
      </w:r>
    </w:p>
    <w:p>
      <w:pPr>
        <w:pStyle w:val="Compact"/>
        <w:numPr>
          <w:ilvl w:val="0"/>
          <w:numId w:val="1010"/>
        </w:numPr>
      </w:pPr>
      <w:r>
        <w:t xml:space="preserve">In testing</w:t>
      </w:r>
    </w:p>
    <w:p>
      <w:pPr>
        <w:pStyle w:val="Compact"/>
        <w:numPr>
          <w:ilvl w:val="0"/>
          <w:numId w:val="1010"/>
        </w:numPr>
      </w:pPr>
      <w:r>
        <w:t xml:space="preserve">Ready for testing</w:t>
      </w:r>
    </w:p>
    <w:p>
      <w:pPr>
        <w:pStyle w:val="Compact"/>
        <w:numPr>
          <w:ilvl w:val="0"/>
          <w:numId w:val="1010"/>
        </w:numPr>
      </w:pPr>
      <w:r>
        <w:t xml:space="preserve">In progress</w:t>
      </w:r>
    </w:p>
    <w:p>
      <w:pPr>
        <w:pStyle w:val="Compact"/>
        <w:numPr>
          <w:ilvl w:val="0"/>
          <w:numId w:val="1010"/>
        </w:numPr>
      </w:pPr>
      <w:r>
        <w:t xml:space="preserve">Reopened</w:t>
      </w:r>
    </w:p>
    <w:p>
      <w:pPr>
        <w:pStyle w:val="Compact"/>
        <w:numPr>
          <w:ilvl w:val="0"/>
          <w:numId w:val="1010"/>
        </w:numPr>
      </w:pPr>
      <w:r>
        <w:t xml:space="preserve">Queued</w:t>
      </w:r>
    </w:p>
    <w:p>
      <w:pPr>
        <w:pStyle w:val="Compact"/>
        <w:numPr>
          <w:ilvl w:val="0"/>
          <w:numId w:val="1010"/>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11"/>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13"/>
    <w:bookmarkStart w:id="1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12"/>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12"/>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13"/>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13"/>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13"/>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13"/>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14"/>
    <w:bookmarkStart w:id="1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14"/>
        </w:numPr>
      </w:pPr>
      <w:r>
        <w:t xml:space="preserve">MUST exist when a domain integration is non-trivial (more than</w:t>
      </w:r>
      <w:r>
        <w:t xml:space="preserve"> </w:t>
      </w:r>
      <w:r>
        <w:t xml:space="preserve">one fix / test / gate landing for that integration).</w:t>
      </w:r>
    </w:p>
    <w:p>
      <w:pPr>
        <w:pStyle w:val="Compact"/>
        <w:numPr>
          <w:ilvl w:val="0"/>
          <w:numId w:val="1014"/>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14"/>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14"/>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14"/>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14"/>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14"/>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14"/>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14"/>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14"/>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15"/>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15"/>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15"/>
    <w:bookmarkStart w:id="16"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016"/>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017"/>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017"/>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017"/>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017"/>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017"/>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017"/>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018"/>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018"/>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019"/>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019"/>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019"/>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16"/>
    <w:bookmarkStart w:id="17"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020"/>
        </w:numPr>
      </w:pPr>
      <w:r>
        <w:rPr>
          <w:b/>
          <w:bCs/>
        </w:rPr>
        <w:t xml:space="preserve">Revision header</w:t>
      </w:r>
      <w:r>
        <w:t xml:space="preserve"> </w:t>
      </w:r>
      <w:r>
        <w:t xml:space="preserve">per §11.4.44.</w:t>
      </w:r>
    </w:p>
    <w:p>
      <w:pPr>
        <w:pStyle w:val="Compact"/>
        <w:numPr>
          <w:ilvl w:val="0"/>
          <w:numId w:val="1020"/>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021"/>
        </w:numPr>
      </w:pPr>
      <w:r>
        <w:t xml:space="preserve">Plain-language summary of current state (1-3 paragraphs).</w:t>
      </w:r>
    </w:p>
    <w:p>
      <w:pPr>
        <w:pStyle w:val="Compact"/>
        <w:numPr>
          <w:ilvl w:val="1"/>
          <w:numId w:val="1021"/>
        </w:numPr>
      </w:pPr>
      <w:r>
        <w:rPr>
          <w:b/>
          <w:bCs/>
        </w:rPr>
        <w:t xml:space="preserve">What works</w:t>
      </w:r>
      <w:r>
        <w:t xml:space="preserve"> </w:t>
      </w:r>
      <w:r>
        <w:t xml:space="preserve">(1-3 bullets, end-user-visible behaviour).</w:t>
      </w:r>
    </w:p>
    <w:p>
      <w:pPr>
        <w:pStyle w:val="Compact"/>
        <w:numPr>
          <w:ilvl w:val="1"/>
          <w:numId w:val="1021"/>
        </w:numPr>
      </w:pPr>
      <w:r>
        <w:rPr>
          <w:b/>
          <w:bCs/>
        </w:rPr>
        <w:t xml:space="preserve">What's broken or pending</w:t>
      </w:r>
      <w:r>
        <w:t xml:space="preserve"> </w:t>
      </w:r>
      <w:r>
        <w:t xml:space="preserve">(1-3 bullets).</w:t>
      </w:r>
    </w:p>
    <w:p>
      <w:pPr>
        <w:pStyle w:val="Compact"/>
        <w:numPr>
          <w:ilvl w:val="1"/>
          <w:numId w:val="1021"/>
        </w:numPr>
      </w:pPr>
      <w:r>
        <w:rPr>
          <w:b/>
          <w:bCs/>
        </w:rPr>
        <w:t xml:space="preserve">Operator / team actions</w:t>
      </w:r>
      <w:r>
        <w:t xml:space="preserve"> </w:t>
      </w:r>
      <w:r>
        <w:t xml:space="preserve">if any.</w:t>
      </w:r>
    </w:p>
    <w:p>
      <w:pPr>
        <w:pStyle w:val="Compact"/>
        <w:numPr>
          <w:ilvl w:val="1"/>
          <w:numId w:val="1021"/>
        </w:numPr>
      </w:pPr>
      <w:r>
        <w:t xml:space="preserve">NO code references, NO §-letter jargon, NO captured-evidence</w:t>
      </w:r>
      <w:r>
        <w:t xml:space="preserve"> </w:t>
      </w:r>
      <w:r>
        <w:t xml:space="preserve">file paths, NO gate / mutation names.</w:t>
      </w:r>
    </w:p>
    <w:p>
      <w:pPr>
        <w:pStyle w:val="Compact"/>
        <w:numPr>
          <w:ilvl w:val="0"/>
          <w:numId w:val="1020"/>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022"/>
        </w:numPr>
      </w:pPr>
      <w:r>
        <w:t xml:space="preserve">§-letter references, gate names, commit hashes, captured-</w:t>
      </w:r>
      <w:r>
        <w:t xml:space="preserve"> </w:t>
      </w:r>
      <w:r>
        <w:t xml:space="preserve">evidence file paths.</w:t>
      </w:r>
    </w:p>
    <w:p>
      <w:pPr>
        <w:pStyle w:val="Compact"/>
        <w:numPr>
          <w:ilvl w:val="1"/>
          <w:numId w:val="1022"/>
        </w:numPr>
      </w:pPr>
      <w:r>
        <w:t xml:space="preserve">Cross-references to Issues.md / Fixed.md items by ATM-NNN</w:t>
      </w:r>
      <w:r>
        <w:t xml:space="preserve"> </w:t>
      </w:r>
      <w:r>
        <w:t xml:space="preserve">(§11.4.54).</w:t>
      </w:r>
    </w:p>
    <w:p>
      <w:pPr>
        <w:pStyle w:val="Compact"/>
        <w:numPr>
          <w:ilvl w:val="0"/>
          <w:numId w:val="1020"/>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020"/>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023"/>
        </w:numPr>
      </w:pPr>
      <w:r>
        <w:t xml:space="preserve">§11.4.45 (Status.md per integration) — Status_Summary.md</w:t>
      </w:r>
      <w:r>
        <w:t xml:space="preserve"> </w:t>
      </w:r>
      <w:r>
        <w:t xml:space="preserve">COMPLEMENTS, never replaces. Both files exist together.</w:t>
      </w:r>
    </w:p>
    <w:p>
      <w:pPr>
        <w:pStyle w:val="Compact"/>
        <w:numPr>
          <w:ilvl w:val="0"/>
          <w:numId w:val="1023"/>
        </w:numPr>
      </w:pPr>
      <w:r>
        <w:t xml:space="preserve">§11.4.12 + §11.4.53 (parity discipline) — Status_Summary follows</w:t>
      </w:r>
      <w:r>
        <w:t xml:space="preserve"> </w:t>
      </w:r>
      <w:r>
        <w:t xml:space="preserve">the same regeneration / HTML+PDF / mtime-alignment pattern.</w:t>
      </w:r>
    </w:p>
    <w:p>
      <w:pPr>
        <w:pStyle w:val="Compact"/>
        <w:numPr>
          <w:ilvl w:val="0"/>
          <w:numId w:val="1023"/>
        </w:numPr>
      </w:pPr>
      <w:r>
        <w:t xml:space="preserve">§11.4.44 (revision header) — applies to Status_Summary.md.</w:t>
      </w:r>
    </w:p>
    <w:p>
      <w:pPr>
        <w:pStyle w:val="Compact"/>
        <w:numPr>
          <w:ilvl w:val="0"/>
          <w:numId w:val="1023"/>
        </w:numPr>
      </w:pPr>
      <w:r>
        <w:t xml:space="preserve">§11.4.23 (colorizer) — Status_Summary.html receives the same</w:t>
      </w:r>
      <w:r>
        <w:t xml:space="preserve"> </w:t>
      </w:r>
      <w:r>
        <w:t xml:space="preserve">type/status visual cues if it embeds tracked-item references.</w:t>
      </w:r>
    </w:p>
    <w:p>
      <w:pPr>
        <w:pStyle w:val="Compact"/>
        <w:numPr>
          <w:ilvl w:val="0"/>
          <w:numId w:val="1023"/>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024"/>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024"/>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024"/>
        </w:numPr>
      </w:pPr>
      <w:r>
        <w:rPr>
          <w:rStyle w:val="VerbatimChar"/>
        </w:rPr>
        <w:t xml:space="preserve">CM-STATUS-SUMMARY-REVISION-HEADER</w:t>
      </w:r>
      <w:r>
        <w:t xml:space="preserve"> </w:t>
      </w:r>
      <w:r>
        <w:t xml:space="preserve">— §11.4.44 header present.</w:t>
      </w:r>
    </w:p>
    <w:p>
      <w:pPr>
        <w:pStyle w:val="Compact"/>
        <w:numPr>
          <w:ilvl w:val="0"/>
          <w:numId w:val="1024"/>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025"/>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025"/>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025"/>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17"/>
    <w:bookmarkStart w:id="18"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026"/>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026"/>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026"/>
        </w:numPr>
      </w:pPr>
      <w:r>
        <w:rPr>
          <w:rStyle w:val="VerbatimChar"/>
        </w:rPr>
        <w:t xml:space="preserve">CONTINUATION.md</w:t>
      </w:r>
      <w:r>
        <w:t xml:space="preserve"> </w:t>
      </w:r>
      <w:r>
        <w:t xml:space="preserve">(§12.10).</w:t>
      </w:r>
    </w:p>
    <w:p>
      <w:pPr>
        <w:pStyle w:val="Compact"/>
        <w:numPr>
          <w:ilvl w:val="0"/>
          <w:numId w:val="1026"/>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027"/>
        </w:numPr>
      </w:pPr>
      <w:r>
        <w:t xml:space="preserve">Scans the canonical doc paths.</w:t>
      </w:r>
    </w:p>
    <w:p>
      <w:pPr>
        <w:pStyle w:val="Compact"/>
        <w:numPr>
          <w:ilvl w:val="0"/>
          <w:numId w:val="1027"/>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027"/>
        </w:numPr>
      </w:pPr>
      <w:r>
        <w:t xml:space="preserve">Renders the markdown table with current values.</w:t>
      </w:r>
    </w:p>
    <w:p>
      <w:pPr>
        <w:pStyle w:val="Compact"/>
        <w:numPr>
          <w:ilvl w:val="0"/>
          <w:numId w:val="1027"/>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028"/>
        </w:numPr>
      </w:pPr>
      <w:r>
        <w:t xml:space="preserve">§11.4.12 + §11.4.19 + §11.4.53 (Issues / Issues_Summary / Fixed</w:t>
      </w:r>
      <w:r>
        <w:t xml:space="preserve"> </w:t>
      </w:r>
      <w:r>
        <w:t xml:space="preserve">/ Fixed_Summary parity) — README links to all four.</w:t>
      </w:r>
    </w:p>
    <w:p>
      <w:pPr>
        <w:pStyle w:val="Compact"/>
        <w:numPr>
          <w:ilvl w:val="0"/>
          <w:numId w:val="1028"/>
        </w:numPr>
      </w:pPr>
      <w:r>
        <w:t xml:space="preserve">§11.4.44 (revision header) — README pulls Revision +</w:t>
      </w:r>
      <w:r>
        <w:t xml:space="preserve"> </w:t>
      </w:r>
      <w:r>
        <w:t xml:space="preserve">Last modified from each doc's header.</w:t>
      </w:r>
    </w:p>
    <w:p>
      <w:pPr>
        <w:pStyle w:val="Compact"/>
        <w:numPr>
          <w:ilvl w:val="0"/>
          <w:numId w:val="1028"/>
        </w:numPr>
      </w:pPr>
      <w:r>
        <w:t xml:space="preserve">§11.4.45 (Status.md) + §11.4.56 (Status_Summary.md) — README</w:t>
      </w:r>
      <w:r>
        <w:t xml:space="preserve"> </w:t>
      </w:r>
      <w:r>
        <w:t xml:space="preserve">enumerates every Status pair.</w:t>
      </w:r>
    </w:p>
    <w:p>
      <w:pPr>
        <w:pStyle w:val="Compact"/>
        <w:numPr>
          <w:ilvl w:val="0"/>
          <w:numId w:val="1028"/>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029"/>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029"/>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029"/>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029"/>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030"/>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030"/>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030"/>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030"/>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18"/>
    <w:bookmarkStart w:id="20"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031"/>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031"/>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031"/>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031"/>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031"/>
        </w:numPr>
      </w:pPr>
      <w:r>
        <w:rPr>
          <w:b/>
          <w:bCs/>
        </w:rPr>
        <w:t xml:space="preserve">Contain a Documentation Map section</w:t>
      </w:r>
      <w:r>
        <w:t xml:space="preserve"> </w:t>
      </w:r>
      <w:r>
        <w:t xml:space="preserve">linking to every Status.md</w:t>
      </w:r>
    </w:p>
    <w:p>
      <w:pPr>
        <w:pStyle w:val="Compact"/>
        <w:numPr>
          <w:ilvl w:val="1"/>
          <w:numId w:val="1032"/>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031"/>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20"/>
    <w:bookmarkStart w:id="21"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033"/>
        </w:numPr>
      </w:pPr>
      <w:r>
        <w:rPr>
          <w:rStyle w:val="VerbatimChar"/>
        </w:rPr>
        <w:t xml:space="preserve">docs/Issues.md</w:t>
      </w:r>
      <w:r>
        <w:t xml:space="preserve"> </w:t>
      </w:r>
      <w:r>
        <w:t xml:space="preserve">— open-item tracker (§11.4.12 + §11.4.15 + §11.4.16)</w:t>
      </w:r>
    </w:p>
    <w:p>
      <w:pPr>
        <w:pStyle w:val="Compact"/>
        <w:numPr>
          <w:ilvl w:val="0"/>
          <w:numId w:val="1033"/>
        </w:numPr>
      </w:pPr>
      <w:r>
        <w:rPr>
          <w:rStyle w:val="VerbatimChar"/>
        </w:rPr>
        <w:t xml:space="preserve">docs/Issues_Summary.md</w:t>
      </w:r>
      <w:r>
        <w:t xml:space="preserve"> </w:t>
      </w:r>
      <w:r>
        <w:t xml:space="preserve">— auto-generated short form (§11.4.12)</w:t>
      </w:r>
    </w:p>
    <w:p>
      <w:pPr>
        <w:pStyle w:val="Compact"/>
        <w:numPr>
          <w:ilvl w:val="0"/>
          <w:numId w:val="1033"/>
        </w:numPr>
      </w:pPr>
      <w:r>
        <w:rPr>
          <w:rStyle w:val="VerbatimChar"/>
        </w:rPr>
        <w:t xml:space="preserve">docs/Fixed.md</w:t>
      </w:r>
      <w:r>
        <w:t xml:space="preserve"> </w:t>
      </w:r>
      <w:r>
        <w:t xml:space="preserve">— closed-item archive (§11.4.53)</w:t>
      </w:r>
    </w:p>
    <w:p>
      <w:pPr>
        <w:pStyle w:val="Compact"/>
        <w:numPr>
          <w:ilvl w:val="0"/>
          <w:numId w:val="1033"/>
        </w:numPr>
      </w:pPr>
      <w:r>
        <w:rPr>
          <w:rStyle w:val="VerbatimChar"/>
        </w:rPr>
        <w:t xml:space="preserve">docs/Fixed_Summary.md</w:t>
      </w:r>
      <w:r>
        <w:t xml:space="preserve"> </w:t>
      </w:r>
      <w:r>
        <w:t xml:space="preserve">— auto-generated short form (§11.4.53)</w:t>
      </w:r>
    </w:p>
    <w:p>
      <w:pPr>
        <w:pStyle w:val="Compact"/>
        <w:numPr>
          <w:ilvl w:val="0"/>
          <w:numId w:val="1033"/>
        </w:numPr>
      </w:pPr>
      <w:r>
        <w:rPr>
          <w:rStyle w:val="VerbatimChar"/>
        </w:rPr>
        <w:t xml:space="preserve">docs/CONTINUATION.md</w:t>
      </w:r>
      <w:r>
        <w:t xml:space="preserve"> </w:t>
      </w:r>
      <w:r>
        <w:t xml:space="preserve">— resumption handoff (§12.10)</w:t>
      </w:r>
    </w:p>
    <w:p>
      <w:pPr>
        <w:pStyle w:val="Compact"/>
        <w:numPr>
          <w:ilvl w:val="0"/>
          <w:numId w:val="1033"/>
        </w:numPr>
      </w:pPr>
      <w:r>
        <w:rPr>
          <w:rStyle w:val="VerbatimChar"/>
        </w:rPr>
        <w:t xml:space="preserve">README.md</w:t>
      </w:r>
      <w:r>
        <w:t xml:space="preserve"> </w:t>
      </w:r>
      <w:r>
        <w:t xml:space="preserve">— project overview + doc-link index (§11.4.57 + §11.4.59)</w:t>
      </w:r>
    </w:p>
    <w:p>
      <w:pPr>
        <w:pStyle w:val="Compact"/>
        <w:numPr>
          <w:ilvl w:val="0"/>
          <w:numId w:val="1033"/>
        </w:numPr>
      </w:pPr>
      <w:r>
        <w:rPr>
          <w:rStyle w:val="VerbatimChar"/>
        </w:rPr>
        <w:t xml:space="preserve">docs/**/Status.md</w:t>
      </w:r>
      <w:r>
        <w:t xml:space="preserve"> </w:t>
      </w:r>
      <w:r>
        <w:t xml:space="preserve">(every domain-scoped instance) — per-integration status (§11.4.45)</w:t>
      </w:r>
    </w:p>
    <w:p>
      <w:pPr>
        <w:pStyle w:val="Compact"/>
        <w:numPr>
          <w:ilvl w:val="0"/>
          <w:numId w:val="1033"/>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034"/>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034"/>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034"/>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21"/>
    <w:bookmarkStart w:id="22"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035"/>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035"/>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036"/>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036"/>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22"/>
    <w:bookmarkStart w:id="23"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23"/>
    <w:bookmarkStart w:id="24"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037"/>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037"/>
        </w:numPr>
      </w:pPr>
      <w:r>
        <w:rPr>
          <w:rStyle w:val="VerbatimChar"/>
        </w:rPr>
        <w:t xml:space="preserve">docs/**/*.md</w:t>
      </w:r>
      <w:r>
        <w:t xml:space="preserve"> </w:t>
      </w:r>
      <w:r>
        <w:t xml:space="preserve">(guides, research, plans, changelogs, procedures, hardware notes)</w:t>
      </w:r>
    </w:p>
    <w:p>
      <w:pPr>
        <w:pStyle w:val="Compact"/>
        <w:numPr>
          <w:ilvl w:val="0"/>
          <w:numId w:val="1037"/>
        </w:numPr>
      </w:pPr>
      <w:r>
        <w:rPr>
          <w:rStyle w:val="VerbatimChar"/>
        </w:rPr>
        <w:t xml:space="preserve">scripts/**/*.md</w:t>
      </w:r>
      <w:r>
        <w:t xml:space="preserve"> </w:t>
      </w:r>
      <w:r>
        <w:t xml:space="preserve">(script-companion docs in documentation format, NOT shebang scripts)</w:t>
      </w:r>
    </w:p>
    <w:p>
      <w:pPr>
        <w:pStyle w:val="Compact"/>
        <w:numPr>
          <w:ilvl w:val="0"/>
          <w:numId w:val="1037"/>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037"/>
        </w:numPr>
      </w:pPr>
      <w:r>
        <w:rPr>
          <w:rStyle w:val="VerbatimChar"/>
        </w:rPr>
        <w:t xml:space="preserve">constitution/**/*.md</w:t>
      </w:r>
      <w:r>
        <w:t xml:space="preserve"> </w:t>
      </w:r>
      <w:r>
        <w:t xml:space="preserve">(the canonical-root submodule)</w:t>
      </w:r>
    </w:p>
    <w:p>
      <w:pPr>
        <w:pStyle w:val="Compact"/>
        <w:numPr>
          <w:ilvl w:val="0"/>
          <w:numId w:val="1037"/>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038"/>
        </w:numPr>
      </w:pPr>
      <w:r>
        <w:rPr>
          <w:rStyle w:val="VerbatimChar"/>
        </w:rPr>
        <w:t xml:space="preserve">external/**</w:t>
      </w:r>
      <w:r>
        <w:t xml:space="preserve"> </w:t>
      </w:r>
      <w:r>
        <w:t xml:space="preserve">(AOSP-mainline / upstream-mirror source trees)</w:t>
      </w:r>
    </w:p>
    <w:p>
      <w:pPr>
        <w:pStyle w:val="Compact"/>
        <w:numPr>
          <w:ilvl w:val="0"/>
          <w:numId w:val="1038"/>
        </w:numPr>
      </w:pPr>
      <w:r>
        <w:rPr>
          <w:rStyle w:val="VerbatimChar"/>
        </w:rPr>
        <w:t xml:space="preserve">prebuilts/**</w:t>
      </w:r>
      <w:r>
        <w:t xml:space="preserve"> </w:t>
      </w:r>
      <w:r>
        <w:t xml:space="preserve">(binary prebuilts + their bundled docs)</w:t>
      </w:r>
    </w:p>
    <w:p>
      <w:pPr>
        <w:pStyle w:val="Compact"/>
        <w:numPr>
          <w:ilvl w:val="0"/>
          <w:numId w:val="1038"/>
        </w:numPr>
      </w:pPr>
      <w:r>
        <w:rPr>
          <w:rStyle w:val="VerbatimChar"/>
        </w:rPr>
        <w:t xml:space="preserve">packages/modules/**</w:t>
      </w:r>
      <w:r>
        <w:t xml:space="preserve"> </w:t>
      </w:r>
      <w:r>
        <w:t xml:space="preserve">(AOSP mainline modules)</w:t>
      </w:r>
    </w:p>
    <w:p>
      <w:pPr>
        <w:pStyle w:val="Compact"/>
        <w:numPr>
          <w:ilvl w:val="0"/>
          <w:numId w:val="1038"/>
        </w:numPr>
      </w:pPr>
      <w:r>
        <w:rPr>
          <w:rStyle w:val="VerbatimChar"/>
        </w:rPr>
        <w:t xml:space="preserve">kernel-5.10/**</w:t>
      </w:r>
      <w:r>
        <w:t xml:space="preserve"> </w:t>
      </w:r>
      <w:r>
        <w:t xml:space="preserve">(kernel source tree — has its own upstream docs)</w:t>
      </w:r>
    </w:p>
    <w:p>
      <w:pPr>
        <w:pStyle w:val="Compact"/>
        <w:numPr>
          <w:ilvl w:val="0"/>
          <w:numId w:val="1038"/>
        </w:numPr>
      </w:pPr>
      <w:r>
        <w:rPr>
          <w:rStyle w:val="VerbatimChar"/>
        </w:rPr>
        <w:t xml:space="preserve">out/**</w:t>
      </w:r>
      <w:r>
        <w:t xml:space="preserve"> </w:t>
      </w:r>
      <w:r>
        <w:t xml:space="preserve">(build output)</w:t>
      </w:r>
    </w:p>
    <w:p>
      <w:pPr>
        <w:pStyle w:val="Compact"/>
        <w:numPr>
          <w:ilvl w:val="0"/>
          <w:numId w:val="1038"/>
        </w:numPr>
      </w:pPr>
      <w:r>
        <w:rPr>
          <w:rStyle w:val="VerbatimChar"/>
        </w:rPr>
        <w:t xml:space="preserve">build/**</w:t>
      </w:r>
      <w:r>
        <w:t xml:space="preserve"> </w:t>
      </w:r>
      <w:r>
        <w:t xml:space="preserve">(AOSP build system)</w:t>
      </w:r>
    </w:p>
    <w:p>
      <w:pPr>
        <w:pStyle w:val="Compact"/>
        <w:numPr>
          <w:ilvl w:val="0"/>
          <w:numId w:val="1038"/>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038"/>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039"/>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039"/>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039"/>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039"/>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040"/>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039"/>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041"/>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041"/>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24"/>
    <w:bookmarkStart w:id="25"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042"/>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042"/>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043"/>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043"/>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042"/>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042"/>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042"/>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044"/>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045"/>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045"/>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045"/>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25"/>
    <w:bookmarkStart w:id="26"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046"/>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046"/>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046"/>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046"/>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26"/>
    <w:bookmarkStart w:id="28"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27">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047"/>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047"/>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047"/>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047"/>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047"/>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048"/>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048"/>
        </w:numPr>
      </w:pPr>
      <w:r>
        <w:rPr>
          <w:b/>
          <w:bCs/>
        </w:rPr>
        <w:t xml:space="preserve">At every major release boundary</w:t>
      </w:r>
      <w:r>
        <w:t xml:space="preserve"> </w:t>
      </w:r>
      <w:r>
        <w:t xml:space="preserve">(vN.0.0 tag — the release-gate sweep includes a §11.4.99 freshness audit).</w:t>
      </w:r>
    </w:p>
    <w:p>
      <w:pPr>
        <w:pStyle w:val="Compact"/>
        <w:numPr>
          <w:ilvl w:val="0"/>
          <w:numId w:val="1048"/>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048"/>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bookmarkEnd w:id="28"/>
    <w:bookmarkStart w:id="2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29"/>
    <w:bookmarkStart w:id="30"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30"/>
    <w:bookmarkStart w:id="3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bookmarkEnd w:id="31"/>
    <w:bookmarkStart w:id="3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32"/>
    <w:bookmarkStart w:id="33"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33"/>
    <w:bookmarkStart w:id="34"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34"/>
    <w:bookmarkStart w:id="35"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35"/>
    <w:bookmarkStart w:id="36"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Constitution.md" TargetMode="External" /><Relationship Type="http://schemas.openxmlformats.org/officeDocument/2006/relationships/hyperlink" Id="rId27" Target="https://core.telegram.org/api/obtaining_api_id" TargetMode="External" /></Relationships>
</file>

<file path=word/_rels/footnotes.xml.rels><?xml version="1.0" encoding="UTF-8"?><Relationships xmlns="http://schemas.openxmlformats.org/package/2006/relationships"><Relationship Type="http://schemas.openxmlformats.org/officeDocument/2006/relationships/hyperlink" Id="rId19" Target="Constitution.md" TargetMode="External" /><Relationship Type="http://schemas.openxmlformats.org/officeDocument/2006/relationships/hyperlink" Id="rId27" Target="https://core.telegram.org/api/obtaining_api_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2026-09-28T08:06:40Z</dcterms:created>
  <dcterms:modified xsi:type="dcterms:W3CDTF">2026-09-28T08:06:40Z</dcterms:modified>
</cp:coreProperties>
</file>

<file path=docProps/custom.xml><?xml version="1.0" encoding="utf-8"?>
<Properties xmlns="http://schemas.openxmlformats.org/officeDocument/2006/custom-properties" xmlns:vt="http://schemas.openxmlformats.org/officeDocument/2006/docPropsVTypes"/>
</file>