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testing-and-tdd"/>
    <w:p>
      <w:pPr>
        <w:pStyle w:val="Heading1"/>
      </w:pPr>
      <w:r>
        <w:t xml:space="preserve">Testing And Tdd</w:t>
      </w:r>
    </w:p>
    <w:bookmarkStart w:id="9"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01"/>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01"/>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01"/>
        </w:numPr>
      </w:pPr>
      <w:r>
        <w:t xml:space="preserve">Tests MUST verify the cleanup succeeded via positive evidence</w:t>
      </w:r>
      <w:r>
        <w:t xml:space="preserve"> </w:t>
      </w:r>
      <w:r>
        <w:t xml:space="preserve">(§11.4.5).</w:t>
      </w:r>
    </w:p>
    <w:p>
      <w:pPr>
        <w:pStyle w:val="Compact"/>
        <w:numPr>
          <w:ilvl w:val="0"/>
          <w:numId w:val="1001"/>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01"/>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9"/>
    <w:bookmarkStart w:id="10"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0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0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0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0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0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0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10"/>
    <w:bookmarkStart w:id="1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11">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12">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03"/>
        </w:numPr>
      </w:pPr>
      <w:r>
        <w:rPr>
          <w:b/>
          <w:bCs/>
        </w:rPr>
        <w:t xml:space="preserve">Unit</w:t>
      </w:r>
      <w:r>
        <w:t xml:space="preserve"> </w:t>
      </w:r>
      <w:r>
        <w:t xml:space="preserve">— fast, isolated, mocks permitted per (A).</w:t>
      </w:r>
    </w:p>
    <w:p>
      <w:pPr>
        <w:pStyle w:val="Compact"/>
        <w:numPr>
          <w:ilvl w:val="0"/>
          <w:numId w:val="1003"/>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03"/>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03"/>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03"/>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03"/>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03"/>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03"/>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03"/>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03"/>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03"/>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03"/>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03"/>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03"/>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03"/>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04"/>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05"/>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05"/>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05"/>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13"/>
    <w:bookmarkStart w:id="14"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06"/>
        </w:numPr>
      </w:pPr>
      <w:r>
        <w:t xml:space="preserve">A screenshot or screen recording captured at a named checkpoint.</w:t>
      </w:r>
    </w:p>
    <w:p>
      <w:pPr>
        <w:pStyle w:val="Compact"/>
        <w:numPr>
          <w:ilvl w:val="0"/>
          <w:numId w:val="1006"/>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06"/>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07"/>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07"/>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07"/>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07"/>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07"/>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14"/>
    <w:bookmarkStart w:id="15"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08"/>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08"/>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08"/>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08"/>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08"/>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15"/>
    <w:bookmarkStart w:id="16"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0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0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0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0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0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10"/>
        </w:numPr>
      </w:pPr>
      <w:r>
        <w:t xml:space="preserve">Captured-evidence: dual_display_record.sh ON for both displays</w:t>
      </w:r>
      <w:r>
        <w:t xml:space="preserve"> </w:t>
      </w:r>
      <w:r>
        <w:t xml:space="preserve">per §11.4.5</w:t>
      </w:r>
    </w:p>
    <w:p>
      <w:pPr>
        <w:pStyle w:val="Compact"/>
        <w:numPr>
          <w:ilvl w:val="0"/>
          <w:numId w:val="1010"/>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10"/>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10"/>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11"/>
        </w:numPr>
      </w:pPr>
      <w:r>
        <w:t xml:space="preserve">§CG:</w:t>
      </w:r>
    </w:p>
    <w:p>
      <w:pPr>
        <w:pStyle w:val="Compact"/>
        <w:numPr>
          <w:ilvl w:val="0"/>
          <w:numId w:val="1012"/>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12"/>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12"/>
        </w:numPr>
      </w:pPr>
      <w:r>
        <w:t xml:space="preserve">Assert reported codec matches expected via</w:t>
      </w:r>
      <w:r>
        <w:t xml:space="preserve"> </w:t>
      </w:r>
      <w:r>
        <w:rPr>
          <w:rStyle w:val="VerbatimChar"/>
        </w:rPr>
        <w:t xml:space="preserve">arvus_assert_codec_format &lt;regex&gt;</w:t>
      </w:r>
    </w:p>
    <w:p>
      <w:pPr>
        <w:pStyle w:val="Compact"/>
        <w:numPr>
          <w:ilvl w:val="0"/>
          <w:numId w:val="1012"/>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013"/>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013"/>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013"/>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014"/>
        </w:numPr>
      </w:pPr>
      <w:r>
        <w:t xml:space="preserve">§11.4.3 — topology dispatch (secondary present vs absent)</w:t>
      </w:r>
    </w:p>
    <w:p>
      <w:pPr>
        <w:pStyle w:val="Compact"/>
        <w:numPr>
          <w:ilvl w:val="0"/>
          <w:numId w:val="1014"/>
        </w:numPr>
      </w:pPr>
      <w:r>
        <w:t xml:space="preserve">§11.4.5 — captured-evidence quality (every UI tap captured)</w:t>
      </w:r>
    </w:p>
    <w:p>
      <w:pPr>
        <w:pStyle w:val="Compact"/>
        <w:numPr>
          <w:ilvl w:val="0"/>
          <w:numId w:val="1014"/>
        </w:numPr>
      </w:pPr>
      <w:r>
        <w:t xml:space="preserve">§11.4.13 — Arvus codec-state mandate</w:t>
      </w:r>
    </w:p>
    <w:p>
      <w:pPr>
        <w:pStyle w:val="Compact"/>
        <w:numPr>
          <w:ilvl w:val="0"/>
          <w:numId w:val="1014"/>
        </w:numPr>
      </w:pPr>
      <w:r>
        <w:t xml:space="preserve">§11.4.14 — playback cleanup verified via UI back-button path</w:t>
      </w:r>
    </w:p>
    <w:p>
      <w:pPr>
        <w:pStyle w:val="Compact"/>
        <w:numPr>
          <w:ilvl w:val="0"/>
          <w:numId w:val="1014"/>
        </w:numPr>
      </w:pPr>
      <w:r>
        <w:t xml:space="preserve">§11.4.43 — RED-test-first discipline (initial UI tests RED</w:t>
      </w:r>
      <w:r>
        <w:t xml:space="preserve"> </w:t>
      </w:r>
      <w:r>
        <w:t xml:space="preserve">against §CL/§CM)</w:t>
      </w:r>
    </w:p>
    <w:p>
      <w:pPr>
        <w:pStyle w:val="Compact"/>
        <w:numPr>
          <w:ilvl w:val="0"/>
          <w:numId w:val="1014"/>
        </w:numPr>
      </w:pPr>
      <w:r>
        <w:t xml:space="preserve">§11.4.44 — revision header on every plan/driver doc</w:t>
      </w:r>
    </w:p>
    <w:p>
      <w:pPr>
        <w:pStyle w:val="Compact"/>
        <w:numPr>
          <w:ilvl w:val="0"/>
          <w:numId w:val="1014"/>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16"/>
    <w:bookmarkStart w:id="17"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15"/>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15"/>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15"/>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015"/>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15"/>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016"/>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016"/>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016"/>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016"/>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017"/>
        </w:numPr>
      </w:pPr>
      <w:r>
        <w:t xml:space="preserve">§11.4.3 — topology dispatch (Arvus reachable, secondary present)</w:t>
      </w:r>
    </w:p>
    <w:p>
      <w:pPr>
        <w:pStyle w:val="Compact"/>
        <w:numPr>
          <w:ilvl w:val="0"/>
          <w:numId w:val="1017"/>
        </w:numPr>
      </w:pPr>
      <w:r>
        <w:t xml:space="preserve">§11.4.5 — captured-evidence content-quality analysis</w:t>
      </w:r>
    </w:p>
    <w:p>
      <w:pPr>
        <w:pStyle w:val="Compact"/>
        <w:numPr>
          <w:ilvl w:val="0"/>
          <w:numId w:val="1017"/>
        </w:numPr>
      </w:pPr>
      <w:r>
        <w:t xml:space="preserve">§11.4.6 — UNCONFIRMED tagging for un-verified Kinopoisk element IDs</w:t>
      </w:r>
    </w:p>
    <w:p>
      <w:pPr>
        <w:pStyle w:val="Compact"/>
        <w:numPr>
          <w:ilvl w:val="0"/>
          <w:numId w:val="1017"/>
        </w:numPr>
      </w:pPr>
      <w:r>
        <w:t xml:space="preserve">§11.4.10 — credentials never echoed, per-device per-service loader</w:t>
      </w:r>
    </w:p>
    <w:p>
      <w:pPr>
        <w:pStyle w:val="Compact"/>
        <w:numPr>
          <w:ilvl w:val="0"/>
          <w:numId w:val="1017"/>
        </w:numPr>
      </w:pPr>
      <w:r>
        <w:t xml:space="preserve">§11.4.13 — Arvus codec-state mandate (out-of-band evidence)</w:t>
      </w:r>
    </w:p>
    <w:p>
      <w:pPr>
        <w:pStyle w:val="Compact"/>
        <w:numPr>
          <w:ilvl w:val="0"/>
          <w:numId w:val="1017"/>
        </w:numPr>
      </w:pPr>
      <w:r>
        <w:t xml:space="preserve">§11.4.14 — playback cleanup via EXIT trap in shared base</w:t>
      </w:r>
    </w:p>
    <w:p>
      <w:pPr>
        <w:pStyle w:val="Compact"/>
        <w:numPr>
          <w:ilvl w:val="0"/>
          <w:numId w:val="1017"/>
        </w:numPr>
      </w:pPr>
      <w:r>
        <w:t xml:space="preserve">§11.4.17 — universal classification</w:t>
      </w:r>
    </w:p>
    <w:p>
      <w:pPr>
        <w:pStyle w:val="Compact"/>
        <w:numPr>
          <w:ilvl w:val="0"/>
          <w:numId w:val="1017"/>
        </w:numPr>
      </w:pPr>
      <w:r>
        <w:t xml:space="preserve">§11.4.43 — RED-first TDD (both variants RED until §CN fix lands)</w:t>
      </w:r>
    </w:p>
    <w:p>
      <w:pPr>
        <w:pStyle w:val="Compact"/>
        <w:numPr>
          <w:ilvl w:val="0"/>
          <w:numId w:val="1017"/>
        </w:numPr>
      </w:pPr>
      <w:r>
        <w:t xml:space="preserve">§11.4.44 — revision header on every variant script + design doc</w:t>
      </w:r>
    </w:p>
    <w:p>
      <w:pPr>
        <w:pStyle w:val="Compact"/>
        <w:numPr>
          <w:ilvl w:val="0"/>
          <w:numId w:val="1017"/>
        </w:numPr>
      </w:pPr>
      <w:r>
        <w:t xml:space="preserve">§11.4.48 — UI-driven traversal (this MANDATE refines, not replaces)</w:t>
      </w:r>
    </w:p>
    <w:p>
      <w:pPr>
        <w:pStyle w:val="Compact"/>
        <w:numPr>
          <w:ilvl w:val="0"/>
          <w:numId w:val="1017"/>
        </w:numPr>
      </w:pPr>
      <w:r>
        <w:t xml:space="preserve">§CG — Arvus dashboard screenshot via Presenter receiver</w:t>
      </w:r>
    </w:p>
    <w:p>
      <w:pPr>
        <w:pStyle w:val="Compact"/>
        <w:numPr>
          <w:ilvl w:val="0"/>
          <w:numId w:val="1017"/>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17"/>
    <w:bookmarkStart w:id="18"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18"/>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19"/>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018"/>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18"/>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20"/>
        </w:numPr>
      </w:pPr>
      <w:r>
        <w:t xml:space="preserve">Loops N times, captures exit code + evidence-hash per iter</w:t>
      </w:r>
    </w:p>
    <w:p>
      <w:pPr>
        <w:pStyle w:val="Compact"/>
        <w:numPr>
          <w:ilvl w:val="1"/>
          <w:numId w:val="1020"/>
        </w:numPr>
      </w:pPr>
      <w:r>
        <w:t xml:space="preserve">Asserts all N exit codes identical AND all N evidence-hashes</w:t>
      </w:r>
      <w:r>
        <w:t xml:space="preserve"> </w:t>
      </w:r>
      <w:r>
        <w:t xml:space="preserve">identical</w:t>
      </w:r>
    </w:p>
    <w:p>
      <w:pPr>
        <w:pStyle w:val="Compact"/>
        <w:numPr>
          <w:ilvl w:val="1"/>
          <w:numId w:val="1020"/>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20"/>
        </w:numPr>
      </w:pPr>
      <w:r>
        <w:t xml:space="preserve">Per §11.4.7 forbidden vocabulary: NO operator-facing escape</w:t>
      </w:r>
      <w:r>
        <w:t xml:space="preserve"> </w:t>
      </w:r>
      <w:r>
        <w:t xml:space="preserve">path converts a divergent N-iter run into PASS</w:t>
      </w:r>
    </w:p>
    <w:p>
      <w:pPr>
        <w:numPr>
          <w:ilvl w:val="0"/>
          <w:numId w:val="1018"/>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21"/>
        </w:numPr>
      </w:pPr>
      <w:r>
        <w:t xml:space="preserve">Walks source layers (every public API surface)</w:t>
      </w:r>
    </w:p>
    <w:p>
      <w:pPr>
        <w:pStyle w:val="Compact"/>
        <w:numPr>
          <w:ilvl w:val="1"/>
          <w:numId w:val="1021"/>
        </w:numPr>
      </w:pPr>
      <w:r>
        <w:t xml:space="preserve">Walks test layers (test_*.sh references)</w:t>
      </w:r>
    </w:p>
    <w:p>
      <w:pPr>
        <w:pStyle w:val="Compact"/>
        <w:numPr>
          <w:ilvl w:val="1"/>
          <w:numId w:val="1021"/>
        </w:numPr>
      </w:pPr>
      <w:r>
        <w:t xml:space="preserve">Emits coverage report at</w:t>
      </w:r>
      <w:r>
        <w:t xml:space="preserve"> </w:t>
      </w:r>
      <w:r>
        <w:rPr>
          <w:rStyle w:val="VerbatimChar"/>
        </w:rPr>
        <w:t xml:space="preserve">qa-results/feature_coverage/ &lt;ISO-UTC&gt;/coverage.tsv</w:t>
      </w:r>
    </w:p>
    <w:p>
      <w:pPr>
        <w:pStyle w:val="Compact"/>
        <w:numPr>
          <w:ilvl w:val="1"/>
          <w:numId w:val="1021"/>
        </w:numPr>
      </w:pPr>
      <w:r>
        <w:t xml:space="preserve">Pre-build gate enforces minimum threshold; threshold ratchets</w:t>
      </w:r>
      <w:r>
        <w:t xml:space="preserve"> </w:t>
      </w:r>
      <w:r>
        <w:t xml:space="preserve">up each phase (70 → 85 → 95 → 99)</w:t>
      </w:r>
    </w:p>
    <w:p>
      <w:pPr>
        <w:numPr>
          <w:ilvl w:val="0"/>
          <w:numId w:val="1018"/>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22"/>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22"/>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22"/>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23"/>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23"/>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23"/>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024"/>
        </w:numPr>
      </w:pPr>
      <w:r>
        <w:t xml:space="preserve">§11.4.1 — FAIL-bluffs forbidden</w:t>
      </w:r>
    </w:p>
    <w:p>
      <w:pPr>
        <w:pStyle w:val="Compact"/>
        <w:numPr>
          <w:ilvl w:val="0"/>
          <w:numId w:val="1024"/>
        </w:numPr>
      </w:pPr>
      <w:r>
        <w:t xml:space="preserve">§11.4.2 — captured-evidence (every iteration captures its own)</w:t>
      </w:r>
    </w:p>
    <w:p>
      <w:pPr>
        <w:pStyle w:val="Compact"/>
        <w:numPr>
          <w:ilvl w:val="0"/>
          <w:numId w:val="1024"/>
        </w:numPr>
      </w:pPr>
      <w:r>
        <w:t xml:space="preserve">§11.4.5 — quality analysis (per-iteration content compared)</w:t>
      </w:r>
    </w:p>
    <w:p>
      <w:pPr>
        <w:pStyle w:val="Compact"/>
        <w:numPr>
          <w:ilvl w:val="0"/>
          <w:numId w:val="1024"/>
        </w:numPr>
      </w:pPr>
      <w:r>
        <w:t xml:space="preserve">§11.4.6 — no guessing (UNCONFIRMED required for any iteration-</w:t>
      </w:r>
      <w:r>
        <w:t xml:space="preserve"> </w:t>
      </w:r>
      <w:r>
        <w:t xml:space="preserve">budget assumption)</w:t>
      </w:r>
    </w:p>
    <w:p>
      <w:pPr>
        <w:pStyle w:val="Compact"/>
        <w:numPr>
          <w:ilvl w:val="0"/>
          <w:numId w:val="1024"/>
        </w:numPr>
      </w:pPr>
      <w:r>
        <w:t xml:space="preserve">§11.4.7 — forbidden flake/intermittent vocabulary (enforced</w:t>
      </w:r>
      <w:r>
        <w:t xml:space="preserve"> </w:t>
      </w:r>
      <w:r>
        <w:t xml:space="preserve">mechanically by this mandate)</w:t>
      </w:r>
    </w:p>
    <w:p>
      <w:pPr>
        <w:pStyle w:val="Compact"/>
        <w:numPr>
          <w:ilvl w:val="0"/>
          <w:numId w:val="1024"/>
        </w:numPr>
      </w:pPr>
      <w:r>
        <w:t xml:space="preserve">§11.4.43 — RED-first TDD (every new test starts RED, N-iter</w:t>
      </w:r>
      <w:r>
        <w:t xml:space="preserve"> </w:t>
      </w:r>
      <w:r>
        <w:t xml:space="preserve">applies across the GREEN transition)</w:t>
      </w:r>
    </w:p>
    <w:p>
      <w:pPr>
        <w:pStyle w:val="Compact"/>
        <w:numPr>
          <w:ilvl w:val="0"/>
          <w:numId w:val="1024"/>
        </w:numPr>
      </w:pPr>
      <w:r>
        <w:t xml:space="preserve">§11.4.46 — validate-before-suite (N-iter applied at single-test</w:t>
      </w:r>
      <w:r>
        <w:t xml:space="preserve"> </w:t>
      </w:r>
      <w:r>
        <w:t xml:space="preserve">scope first)</w:t>
      </w:r>
    </w:p>
    <w:p>
      <w:pPr>
        <w:pStyle w:val="Compact"/>
        <w:numPr>
          <w:ilvl w:val="0"/>
          <w:numId w:val="1024"/>
        </w:numPr>
      </w:pPr>
      <w:r>
        <w:t xml:space="preserve">§11.4.48 — UI-driven traversal (each UI traversal MUST be</w:t>
      </w:r>
      <w:r>
        <w:t xml:space="preserve"> </w:t>
      </w:r>
      <w:r>
        <w:t xml:space="preserve">N-iter-consistent)</w:t>
      </w:r>
    </w:p>
    <w:p>
      <w:pPr>
        <w:pStyle w:val="Compact"/>
        <w:numPr>
          <w:ilvl w:val="0"/>
          <w:numId w:val="1024"/>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18"/>
    <w:bookmarkStart w:id="19"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25"/>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25"/>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25"/>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25"/>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25"/>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026"/>
        </w:numPr>
      </w:pPr>
      <w:r>
        <w:t xml:space="preserve">§11.4.43 — TDD-fix workflow (§11.4.51 REFINES step 2 with the</w:t>
      </w:r>
      <w:r>
        <w:t xml:space="preserve"> </w:t>
      </w:r>
      <w:r>
        <w:t xml:space="preserve">mechanical classifier).</w:t>
      </w:r>
    </w:p>
    <w:p>
      <w:pPr>
        <w:pStyle w:val="Compact"/>
        <w:numPr>
          <w:ilvl w:val="0"/>
          <w:numId w:val="1026"/>
        </w:numPr>
      </w:pPr>
      <w:r>
        <w:t xml:space="preserve">§11.4.9 — batch-source-fixes-before-rebuild (compose: live-ADB-</w:t>
      </w:r>
      <w:r>
        <w:t xml:space="preserve"> </w:t>
      </w:r>
      <w:r>
        <w:t xml:space="preserve">test individually, then batch-commit).</w:t>
      </w:r>
    </w:p>
    <w:p>
      <w:pPr>
        <w:pStyle w:val="Compact"/>
        <w:numPr>
          <w:ilvl w:val="0"/>
          <w:numId w:val="1026"/>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026"/>
        </w:numPr>
      </w:pPr>
      <w:r>
        <w:t xml:space="preserve">§11.4.46 — validate-recent-work-before-post-flash (live-probe IS</w:t>
      </w:r>
      <w:r>
        <w:t xml:space="preserve"> </w:t>
      </w:r>
      <w:r>
        <w:t xml:space="preserve">implicit pre-validation).</w:t>
      </w:r>
    </w:p>
    <w:p>
      <w:pPr>
        <w:pStyle w:val="Compact"/>
        <w:numPr>
          <w:ilvl w:val="0"/>
          <w:numId w:val="1026"/>
        </w:numPr>
      </w:pPr>
      <w:r>
        <w:t xml:space="preserve">§11.4.48 — UI-driven tests (live-probe CAN use uiautomator over</w:t>
      </w:r>
      <w:r>
        <w:t xml:space="preserve"> </w:t>
      </w:r>
      <w:r>
        <w:t xml:space="preserve">adb shell).</w:t>
      </w:r>
    </w:p>
    <w:p>
      <w:pPr>
        <w:pStyle w:val="Compact"/>
        <w:numPr>
          <w:ilvl w:val="0"/>
          <w:numId w:val="1026"/>
        </w:numPr>
      </w:pPr>
      <w:r>
        <w:t xml:space="preserve">§11.4.49 — dual-approach (live-probe applies to both UI and</w:t>
      </w:r>
      <w:r>
        <w:t xml:space="preserve"> </w:t>
      </w:r>
      <w:r>
        <w:t xml:space="preserve">Intent variants).</w:t>
      </w:r>
    </w:p>
    <w:p>
      <w:pPr>
        <w:pStyle w:val="Compact"/>
        <w:numPr>
          <w:ilvl w:val="0"/>
          <w:numId w:val="1026"/>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19"/>
    <w:bookmarkStart w:id="22"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02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02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02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02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02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02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20">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02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028"/>
        </w:numPr>
      </w:pPr>
      <w:r>
        <w:t xml:space="preserve">§11.4.4 (test-interrupt-on-discovery — a parse FAIL at cycle</w:t>
      </w:r>
      <w:r>
        <w:t xml:space="preserve"> </w:t>
      </w:r>
      <w:r>
        <w:t xml:space="preserve">start IS the discovery event; cycle stops, fix lands, retest)</w:t>
      </w:r>
    </w:p>
    <w:p>
      <w:pPr>
        <w:pStyle w:val="Compact"/>
        <w:numPr>
          <w:ilvl w:val="0"/>
          <w:numId w:val="102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02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02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02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02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02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02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22"/>
    <w:bookmarkStart w:id="23"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23"/>
    <w:bookmarkStart w:id="24"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030"/>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031"/>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031"/>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031"/>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030"/>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032"/>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032"/>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032"/>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032"/>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032"/>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033"/>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033"/>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033"/>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034"/>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034"/>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034"/>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034"/>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035"/>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035"/>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035"/>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035"/>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035"/>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035"/>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035"/>
        </w:numPr>
      </w:pPr>
      <w:r>
        <w:rPr>
          <w:b/>
          <w:bCs/>
        </w:rPr>
        <w:t xml:space="preserve">§11.4.52</w:t>
      </w:r>
      <w:r>
        <w:t xml:space="preserve"> </w:t>
      </w:r>
      <w:r>
        <w:t xml:space="preserve">— autonomous validation. Stress + chaos tests MUST run end-to-end without operator presence.</w:t>
      </w:r>
    </w:p>
    <w:p>
      <w:pPr>
        <w:pStyle w:val="Compact"/>
        <w:numPr>
          <w:ilvl w:val="0"/>
          <w:numId w:val="1035"/>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035"/>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24"/>
    <w:bookmarkStart w:id="2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036"/>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036"/>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036"/>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036"/>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036"/>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036"/>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25"/>
    <w:bookmarkStart w:id="2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26"/>
    <w:bookmarkStart w:id="2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27"/>
    <w:bookmarkStart w:id="2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28"/>
    <w:bookmarkStart w:id="2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29"/>
    <w:bookmarkStart w:id="3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30"/>
    <w:bookmarkStart w:id="31"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31"/>
    <w:bookmarkStart w:id="34"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32">
        <w:r>
          <w:rPr>
            <w:rStyle w:val="Hyperlink"/>
          </w:rPr>
          <w:t xml:space="preserve">https://developers.google.com/solutions/content-driven/backend/testing</w:t>
        </w:r>
      </w:hyperlink>
      <w:r>
        <w:t xml:space="preserve">; AOSP CTS/Tradefed continuous-regression model</w:t>
      </w:r>
      <w:r>
        <w:t xml:space="preserve"> </w:t>
      </w:r>
      <w:hyperlink r:id="rId33">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34"/>
    <w:bookmarkStart w:id="37"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35">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36">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37"/>
    <w:bookmarkStart w:id="44"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38">
        <w:r>
          <w:rPr>
            <w:rStyle w:val="Hyperlink"/>
          </w:rPr>
          <w:t xml:space="preserve">https://developer.android.com/security/fraud-prevention/activities</w:t>
        </w:r>
      </w:hyperlink>
      <w:r>
        <w:t xml:space="preserve">; Nightwatch</w:t>
      </w:r>
      <w:r>
        <w:t xml:space="preserve"> </w:t>
      </w:r>
      <w:hyperlink r:id="rId39">
        <w:r>
          <w:rPr>
            <w:rStyle w:val="Hyperlink"/>
          </w:rPr>
          <w:t xml:space="preserve">https://wwws.nightwatchcybersecurity.com/2016/04/13/research-securing-android-applications-from-screen-capture/</w:t>
        </w:r>
      </w:hyperlink>
      <w:r>
        <w:t xml:space="preserve">; WithSecure</w:t>
      </w:r>
      <w:r>
        <w:t xml:space="preserve"> </w:t>
      </w:r>
      <w:hyperlink r:id="rId40">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41">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42">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43">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44"/>
    <w:bookmarkStart w:id="45"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45"/>
    <w:bookmarkStart w:id="4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46"/>
    <w:bookmarkStart w:id="47"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037"/>
        </w:numPr>
      </w:pPr>
      <w:r>
        <w:rPr>
          <w:b/>
          <w:bCs/>
        </w:rPr>
        <w:t xml:space="preserve">Unit</w:t>
      </w:r>
      <w:r>
        <w:t xml:space="preserve"> </w:t>
      </w:r>
      <w:r>
        <w:t xml:space="preserve">— isolated logic; the ONLY layer where mocks / stubs / fakes / placeholders are permitted (§11.4.27(A)).</w:t>
      </w:r>
    </w:p>
    <w:p>
      <w:pPr>
        <w:pStyle w:val="Compact"/>
        <w:numPr>
          <w:ilvl w:val="0"/>
          <w:numId w:val="103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037"/>
        </w:numPr>
      </w:pPr>
      <w:r>
        <w:rPr>
          <w:b/>
          <w:bCs/>
        </w:rPr>
        <w:t xml:space="preserve">End-to-end (e2e)</w:t>
      </w:r>
      <w:r>
        <w:t xml:space="preserve"> </w:t>
      </w:r>
      <w:r>
        <w:t xml:space="preserve">— the full user journey across the real System, captured-evidence per §11.4.5 / §11.4.107.</w:t>
      </w:r>
    </w:p>
    <w:p>
      <w:pPr>
        <w:pStyle w:val="Compact"/>
        <w:numPr>
          <w:ilvl w:val="0"/>
          <w:numId w:val="103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03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03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03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03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03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03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03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03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03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bookmarkEnd w:id="47"/>
    <w:bookmarkStart w:id="48"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48"/>
    <w:bookmarkStart w:id="49"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49"/>
    <w:bookmarkStart w:id="50"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50"/>
    <w:bookmarkStart w:id="51"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51"/>
    <w:bookmarkStart w:id="5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52"/>
    <w:bookmarkStart w:id="5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53"/>
    <w:bookmarkStart w:id="5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54"/>
    <w:bookmarkStart w:id="5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55"/>
    <w:bookmarkStart w:id="5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56"/>
    <w:bookmarkStart w:id="5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57"/>
    <w:bookmarkStart w:id="5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58"/>
    <w:bookmarkStart w:id="5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59"/>
    <w:bookmarkStart w:id="6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20" Target="docs/guides/shell_instrument_footguns.md" TargetMode="External" /><Relationship Type="http://schemas.openxmlformats.org/officeDocument/2006/relationships/hyperlink" Id="rId35" Target="https://developer.android.com/media/media3/exoplayer/oems" TargetMode="External" /><Relationship Type="http://schemas.openxmlformats.org/officeDocument/2006/relationships/hyperlink" Id="rId38" Target="https://developer.android.com/security/fraud-prevention/activities" TargetMode="External" /><Relationship Type="http://schemas.openxmlformats.org/officeDocument/2006/relationships/hyperlink" Id="rId32" Target="https://developers.google.com/solutions/content-driven/backend/testing" TargetMode="External" /><Relationship Type="http://schemas.openxmlformats.org/officeDocument/2006/relationships/hyperlink" Id="rId42" Target="https://en.wikipedia.org/wiki/Metamorphic_testing" TargetMode="External" /><Relationship Type="http://schemas.openxmlformats.org/officeDocument/2006/relationships/hyperlink" Id="rId12" Target="https://github.com/HelixDevelopment/HelixQA" TargetMode="External" /><Relationship Type="http://schemas.openxmlformats.org/officeDocument/2006/relationships/hyperlink" Id="rId43" Target="https://github.com/apptek/SubER" TargetMode="External" /><Relationship Type="http://schemas.openxmlformats.org/officeDocument/2006/relationships/hyperlink" Id="rId36" Target="https://github.com/bbc/exoplayer-testing-samples" TargetMode="External" /><Relationship Type="http://schemas.openxmlformats.org/officeDocument/2006/relationships/hyperlink" Id="rId11" Target="https://github.com/vasic-digital/Challenges" TargetMode="External" /><Relationship Type="http://schemas.openxmlformats.org/officeDocument/2006/relationships/hyperlink" Id="rId40" Target="https://labs.withsecure.com/advisories/screencapture-via-ui-overlays-in-mediaprojection" TargetMode="External" /><Relationship Type="http://schemas.openxmlformats.org/officeDocument/2006/relationships/hyperlink" Id="rId33" Target="https://source.android.com/docs/compatibility/cts" TargetMode="External" /><Relationship Type="http://schemas.openxmlformats.org/officeDocument/2006/relationships/hyperlink" Id="rId41" Target="https://www.gte-media.com/cea-608-and-cea-708-captions/" TargetMode="External" /><Relationship Type="http://schemas.openxmlformats.org/officeDocument/2006/relationships/hyperlink" Id="rId39" Target="https://wwws.nightwatchcybersecurity.com/2016/04/13/research-securing-android-applications-from-screen-cap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2026-09-28T08:06:54Z</dcterms:created>
  <dcterms:modified xsi:type="dcterms:W3CDTF">2026-09-28T08:06:54Z</dcterms:modified>
</cp:coreProperties>
</file>

<file path=docProps/custom.xml><?xml version="1.0" encoding="utf-8"?>
<Properties xmlns="http://schemas.openxmlformats.org/officeDocument/2006/custom-properties" xmlns:vt="http://schemas.openxmlformats.org/officeDocument/2006/docPropsVTypes"/>
</file>