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d225eb337250fba1f0c2899332e7ab9776a0c34"/>
    <w:p>
      <w:pPr>
        <w:pStyle w:val="Heading1"/>
      </w:pPr>
      <w:r>
        <w:t xml:space="preserve">fixtures/dispatch_stamp/ — T036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constitution/scripts/fastcycle/tokens/dispatch_stamp.sh</w:t>
      </w:r>
      <w:r>
        <w:t xml:space="preserve"> </w:t>
      </w:r>
      <w:r>
        <w:t xml:space="preserve">(§11.4.107(10) self-validation: golden-good / golden-bad / negative-control).</w:t>
      </w:r>
    </w:p>
    <w:p>
      <w:pPr>
        <w:pStyle w:val="BodyText"/>
      </w:pPr>
      <w:r>
        <w:t xml:space="preserve">Each case directory holds: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The raw stdin JSON payload (the Claude Code PreToolUse hook invocation shape), byte-for-byte as it would arrive on stdin. Matches the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/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naming already used by the sibling</w:t>
            </w:r>
            <w:r>
              <w:t xml:space="preserve"> </w:t>
            </w:r>
            <w:r>
              <w:rPr>
                <w:rStyle w:val="VerbatimChar"/>
              </w:rPr>
              <w:t xml:space="preserve">fixtures/build_deploy_qa/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The expected</w:t>
            </w:r>
            <w:r>
              <w:t xml:space="preserve"> </w:t>
            </w:r>
            <w:r>
              <w:rPr>
                <w:b/>
                <w:bCs/>
              </w:rPr>
              <w:t xml:space="preserve">GUARD mode</w:t>
            </w:r>
            <w:r>
              <w:t xml:space="preserve"> </w:t>
            </w:r>
            <w:r>
              <w:t xml:space="preserve">(default invocation, no CLI flag) exit code —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— on its own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expected_extract</w:t>
            </w:r>
          </w:p>
        </w:tc>
        <w:tc>
          <w:tcPr/>
          <w:p>
            <w:pPr>
              <w:pStyle w:val="Compact"/>
            </w:pPr>
            <w:r>
              <w:t xml:space="preserve">The expected</w:t>
            </w:r>
            <w:r>
              <w:t xml:space="preserve"> </w:t>
            </w:r>
            <w:r>
              <w:rPr>
                <w:b/>
                <w:bCs/>
              </w:rPr>
              <w:t xml:space="preserve">EXTRACTION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--extract-item-id</w:t>
            </w:r>
            <w:r>
              <w:t xml:space="preserve">) stdout — the bare</w:t>
            </w:r>
            <w:r>
              <w:t xml:space="preserve"> </w:t>
            </w:r>
            <w:r>
              <w:rPr>
                <w:rStyle w:val="VerbatimChar"/>
              </w:rPr>
              <w:t xml:space="preserve">ATM-nnnn</w:t>
            </w:r>
            <w:r>
              <w:t xml:space="preserve"> </w:t>
            </w:r>
            <w:r>
              <w:t xml:space="preserve">token, the literal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(0 bytes, no trailing newline) when</w:t>
            </w:r>
            <w:r>
              <w:t xml:space="preserve"> </w:t>
            </w:r>
            <w:r>
              <w:rPr>
                <w:rStyle w:val="VerbatimChar"/>
              </w:rPr>
              <w:t xml:space="preserve">item=</w:t>
            </w:r>
            <w:r>
              <w:t xml:space="preserve"> </w:t>
            </w:r>
            <w:r>
              <w:t xml:space="preserve">is genuinely absent. This file is deliberately a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file from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because this tool has two independent behaviours (a blocking guard decision and a non-blocking extraction) driven by the SAME input — one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file could not hold both without an ad-hoc multi-field format.</w:t>
            </w:r>
          </w:p>
        </w:tc>
      </w:tr>
    </w:tbl>
    <w:bookmarkStart w:id="9" w:name="cases"/>
    <w:p>
      <w:pPr>
        <w:pStyle w:val="Heading2"/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golden-good/</w:t>
      </w:r>
      <w:r>
        <w:t xml:space="preserve"> </w:t>
      </w:r>
      <w:r>
        <w:t xml:space="preserve">— a well-formed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dispatch carrying</w:t>
      </w:r>
      <w:r>
        <w:t xml:space="preserve"> </w:t>
      </w:r>
      <w:r>
        <w:rPr>
          <w:rStyle w:val="VerbatimChar"/>
        </w:rPr>
        <w:t xml:space="preserve">item=ATM-1041</w:t>
      </w:r>
      <w:r>
        <w:t xml:space="preserve"> </w:t>
      </w:r>
      <w:r>
        <w:t xml:space="preserve">alongside a real §11.4.182 label → GUARD mode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; EXTRACTION mode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ATM-1041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golden-bad/</w:t>
      </w:r>
      <w:r>
        <w:t xml:space="preserve"> </w:t>
      </w:r>
      <w:r>
        <w:t xml:space="preserve">— the identical shape (</w:t>
      </w:r>
      <w:r>
        <w:rPr>
          <w:rStyle w:val="VerbatimChar"/>
        </w:rPr>
        <w:t xml:space="preserve">Task</w:t>
      </w:r>
      <w:r>
        <w:t xml:space="preserve"> </w:t>
      </w:r>
      <w:r>
        <w:t xml:space="preserve">dispatch, real §11.4.182</w:t>
      </w:r>
      <w:r>
        <w:t xml:space="preserve"> </w:t>
      </w:r>
      <w:r>
        <w:t xml:space="preserve">label) but with the</w:t>
      </w:r>
      <w:r>
        <w:t xml:space="preserve"> </w:t>
      </w:r>
      <w:r>
        <w:rPr>
          <w:rStyle w:val="VerbatimChar"/>
        </w:rPr>
        <w:t xml:space="preserve">item=</w:t>
      </w:r>
      <w:r>
        <w:t xml:space="preserve"> </w:t>
      </w:r>
      <w:r>
        <w:t xml:space="preserve">token missing entirely → GUARD mode</w:t>
      </w:r>
      <w:r>
        <w:t xml:space="preserve"> </w:t>
      </w:r>
      <w:r>
        <w:rPr>
          <w:rStyle w:val="VerbatimChar"/>
        </w:rPr>
        <w:t xml:space="preserve">exit 2</w:t>
      </w:r>
      <w:r>
        <w:t xml:space="preserve"> </w:t>
      </w:r>
      <w:r>
        <w:t xml:space="preserve">(stderr names the fix); EXTRACTION mode prints nothing (empty).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negative-control/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tool_name (never gated) with no</w:t>
      </w:r>
      <w:r>
        <w:t xml:space="preserve"> </w:t>
      </w:r>
      <w:r>
        <w:rPr>
          <w:rStyle w:val="VerbatimChar"/>
        </w:rPr>
        <w:t xml:space="preserve">item=</w:t>
      </w:r>
      <w:r>
        <w:t xml:space="preserve"> </w:t>
      </w:r>
      <w:r>
        <w:t xml:space="preserve">anywhere → GUARD mode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, proving the guard does not over-fire on</w:t>
      </w:r>
      <w:r>
        <w:t xml:space="preserve"> </w:t>
      </w:r>
      <w:r>
        <w:t xml:space="preserve">tools it was never meant to gate. (This case exercises GUARD mode only;</w:t>
      </w:r>
      <w:r>
        <w:t xml:space="preserve"> </w:t>
      </w:r>
      <w:r>
        <w:t xml:space="preserve">EXTRACTION mode is tool_name-agnostic by design — see dispatch_stamp.sh's</w:t>
      </w:r>
      <w:r>
        <w:t xml:space="preserve"> </w:t>
      </w:r>
      <w:r>
        <w:t xml:space="preserve">own header — so its</w:t>
      </w:r>
      <w:r>
        <w:t xml:space="preserve"> </w:t>
      </w:r>
      <w:r>
        <w:rPr>
          <w:rStyle w:val="VerbatimChar"/>
        </w:rPr>
        <w:t xml:space="preserve">expected_extract</w:t>
      </w:r>
      <w:r>
        <w:t xml:space="preserve"> </w:t>
      </w:r>
      <w:r>
        <w:t xml:space="preserve">is empty here simply because the</w:t>
      </w:r>
      <w:r>
        <w:t xml:space="preserve"> </w:t>
      </w:r>
      <w:r>
        <w:t xml:space="preserve">fixture's description field itself never contains</w:t>
      </w:r>
      <w:r>
        <w:t xml:space="preserve"> </w:t>
      </w:r>
      <w:r>
        <w:rPr>
          <w:rStyle w:val="VerbatimChar"/>
        </w:rPr>
        <w:t xml:space="preserve">item=</w:t>
      </w:r>
      <w:r>
        <w:t xml:space="preserve">, not because of</w:t>
      </w:r>
      <w:r>
        <w:t xml:space="preserve"> </w:t>
      </w:r>
      <w:r>
        <w:t xml:space="preserve">any tool_name check in extraction mode.)</w:t>
      </w:r>
    </w:p>
    <w:bookmarkEnd w:id="9"/>
    <w:bookmarkStart w:id="10" w:name="running-a-case-by-hand"/>
    <w:p>
      <w:pPr>
        <w:pStyle w:val="Heading2"/>
      </w:pPr>
      <w:r>
        <w:t xml:space="preserve">Running a case by hand</w:t>
      </w:r>
    </w:p>
    <w:p>
      <w:pPr>
        <w:pStyle w:val="SourceCode"/>
      </w:pPr>
      <w:r>
        <w:rPr>
          <w:rStyle w:val="VariableTok"/>
        </w:rPr>
        <w:t xml:space="preserve">TOOL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/constitution/scripts/fastcycle/tokens/dispatch_stamp.sh"</w:t>
      </w:r>
      <w:r>
        <w:br/>
      </w:r>
      <w:r>
        <w:rPr>
          <w:rStyle w:val="VariableTok"/>
        </w:rPr>
        <w:t xml:space="preserve">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/constitution/scripts/fastcycle/tests/fixtures/dispatch_stamp/golden-good"</w:t>
      </w:r>
      <w:r>
        <w:br/>
      </w:r>
      <w:r>
        <w:br/>
      </w:r>
      <w:r>
        <w:rPr>
          <w:rStyle w:val="CommentTok"/>
        </w:rPr>
        <w:t xml:space="preserve"># GUARD mode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$CASE</w:t>
      </w:r>
      <w:r>
        <w:rPr>
          <w:rStyle w:val="StringTok"/>
        </w:rPr>
        <w:t xml:space="preserve">/input"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$TOOL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compare against $CASE/expected</w:t>
      </w:r>
      <w:r>
        <w:br/>
      </w:r>
      <w:r>
        <w:br/>
      </w:r>
      <w:r>
        <w:rPr>
          <w:rStyle w:val="CommentTok"/>
        </w:rPr>
        <w:t xml:space="preserve"># EXTRACTION mode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$CASE</w:t>
      </w:r>
      <w:r>
        <w:rPr>
          <w:rStyle w:val="StringTok"/>
        </w:rPr>
        <w:t xml:space="preserve">/input"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$TOOL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--extract-item-id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compare against $CASE/expected_extract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2026-09-28T08:06:58Z</dcterms:created>
  <dcterms:modified xsi:type="dcterms:W3CDTF">2026-09-28T08:06:58Z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