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git-and-data-safety"/>
    <w:p>
      <w:pPr>
        <w:pStyle w:val="Heading1"/>
      </w:pPr>
      <w:r>
        <w:t xml:space="preserve">Git And Data Safety</w:t>
      </w:r>
    </w:p>
    <w:bookmarkStart w:id="9"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01"/>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01"/>
        </w:numPr>
      </w:pPr>
      <w:r>
        <w:rPr>
          <w:b/>
          <w:bCs/>
        </w:rPr>
        <w:t xml:space="preserve">Record critical metadata into the backup dir</w:t>
      </w:r>
      <w:r>
        <w:t xml:space="preserve">:</w:t>
      </w:r>
    </w:p>
    <w:p>
      <w:pPr>
        <w:pStyle w:val="Compact"/>
        <w:numPr>
          <w:ilvl w:val="1"/>
          <w:numId w:val="1002"/>
        </w:numPr>
      </w:pPr>
      <w:r>
        <w:rPr>
          <w:rStyle w:val="VerbatimChar"/>
        </w:rPr>
        <w:t xml:space="preserve">git show-ref &gt; refs.txt</w:t>
      </w:r>
    </w:p>
    <w:p>
      <w:pPr>
        <w:pStyle w:val="Compact"/>
        <w:numPr>
          <w:ilvl w:val="1"/>
          <w:numId w:val="1002"/>
        </w:numPr>
      </w:pPr>
      <w:r>
        <w:rPr>
          <w:rStyle w:val="VerbatimChar"/>
        </w:rPr>
        <w:t xml:space="preserve">git tag &gt; tags.txt</w:t>
      </w:r>
    </w:p>
    <w:p>
      <w:pPr>
        <w:pStyle w:val="Compact"/>
        <w:numPr>
          <w:ilvl w:val="1"/>
          <w:numId w:val="1002"/>
        </w:numPr>
      </w:pPr>
      <w:r>
        <w:rPr>
          <w:rStyle w:val="VerbatimChar"/>
        </w:rPr>
        <w:t xml:space="preserve">git submodule status &gt; submodules.txt</w:t>
      </w:r>
    </w:p>
    <w:p>
      <w:pPr>
        <w:pStyle w:val="Compact"/>
        <w:numPr>
          <w:ilvl w:val="1"/>
          <w:numId w:val="1002"/>
        </w:numPr>
      </w:pPr>
      <w:r>
        <w:rPr>
          <w:rStyle w:val="VerbatimChar"/>
        </w:rPr>
        <w:t xml:space="preserve">git rev-parse HEAD &gt; head.txt</w:t>
      </w:r>
    </w:p>
    <w:p>
      <w:pPr>
        <w:pStyle w:val="Compact"/>
        <w:numPr>
          <w:ilvl w:val="1"/>
          <w:numId w:val="1002"/>
        </w:numPr>
      </w:pPr>
      <w:r>
        <w:rPr>
          <w:rStyle w:val="VerbatimChar"/>
        </w:rPr>
        <w:t xml:space="preserve">git rev-parse HEAD^{tree} &gt; head_tree.txt</w:t>
      </w:r>
    </w:p>
    <w:p>
      <w:pPr>
        <w:pStyle w:val="Compact"/>
        <w:numPr>
          <w:ilvl w:val="1"/>
          <w:numId w:val="1002"/>
        </w:numPr>
      </w:pPr>
      <w:r>
        <w:rPr>
          <w:rStyle w:val="VerbatimChar"/>
        </w:rPr>
        <w:t xml:space="preserve">git ls-tree -r HEAD --full-tree | sha256sum &gt; head_tree_content.sha256</w:t>
      </w:r>
    </w:p>
    <w:p>
      <w:pPr>
        <w:pStyle w:val="Compact"/>
        <w:numPr>
          <w:ilvl w:val="1"/>
          <w:numId w:val="1002"/>
        </w:numPr>
      </w:pPr>
      <w:r>
        <w:rPr>
          <w:rStyle w:val="VerbatimChar"/>
        </w:rPr>
        <w:t xml:space="preserve">git ls-tree -r HEAD --full-tree &gt; head_tree_listing.txt</w:t>
      </w:r>
    </w:p>
    <w:p>
      <w:pPr>
        <w:pStyle w:val="Compact"/>
        <w:numPr>
          <w:ilvl w:val="0"/>
          <w:numId w:val="1001"/>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01"/>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01"/>
        </w:numPr>
      </w:pPr>
      <w:r>
        <w:rPr>
          <w:b/>
          <w:bCs/>
        </w:rPr>
        <w:t xml:space="preserve">Post-operation verification gate</w:t>
      </w:r>
      <w:r>
        <w:t xml:space="preserve"> </w:t>
      </w:r>
      <w:r>
        <w:t xml:space="preserve">(all MUST pass):</w:t>
      </w:r>
    </w:p>
    <w:p>
      <w:pPr>
        <w:pStyle w:val="Compact"/>
        <w:numPr>
          <w:ilvl w:val="1"/>
          <w:numId w:val="1003"/>
        </w:numPr>
      </w:pPr>
      <w:r>
        <w:t xml:space="preserve">HEAD tree hash matches pre-op target (content identical for</w:t>
      </w:r>
      <w:r>
        <w:t xml:space="preserve"> </w:t>
      </w:r>
      <w:r>
        <w:t xml:space="preserve">non-content-changing rewrites)</w:t>
      </w:r>
    </w:p>
    <w:p>
      <w:pPr>
        <w:pStyle w:val="Compact"/>
        <w:numPr>
          <w:ilvl w:val="1"/>
          <w:numId w:val="1003"/>
        </w:numPr>
      </w:pPr>
      <w:r>
        <w:t xml:space="preserve">HEAD tree content sha256 matches pre-op sha256</w:t>
      </w:r>
    </w:p>
    <w:p>
      <w:pPr>
        <w:pStyle w:val="Compact"/>
        <w:numPr>
          <w:ilvl w:val="1"/>
          <w:numId w:val="1003"/>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03"/>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03"/>
        </w:numPr>
      </w:pPr>
      <w:r>
        <w:t xml:space="preserve">Project's pre-build / pre-merge gates pass with zero FAIL and</w:t>
      </w:r>
      <w:r>
        <w:t xml:space="preserve"> </w:t>
      </w:r>
      <w:r>
        <w:t xml:space="preserve">zero unclassified WARN</w:t>
      </w:r>
    </w:p>
    <w:p>
      <w:pPr>
        <w:pStyle w:val="Compact"/>
        <w:numPr>
          <w:ilvl w:val="0"/>
          <w:numId w:val="1001"/>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01"/>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9"/>
    <w:bookmarkStart w:id="10"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04"/>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04"/>
        </w:numPr>
      </w:pPr>
      <w:r>
        <w:t xml:space="preserve">A human must affirmatively say "force-push" (or equivalent) in the</w:t>
      </w:r>
      <w:r>
        <w:t xml:space="preserve"> </w:t>
      </w:r>
      <w:r>
        <w:t xml:space="preserve">session to authorize each force-push.</w:t>
      </w:r>
    </w:p>
    <w:p>
      <w:pPr>
        <w:pStyle w:val="Compact"/>
        <w:numPr>
          <w:ilvl w:val="0"/>
          <w:numId w:val="1004"/>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04"/>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10"/>
    <w:bookmarkStart w:id="11"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11"/>
    <w:bookmarkStart w:id="12"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05"/>
        </w:numPr>
      </w:pPr>
      <w:r>
        <w:t xml:space="preserve">What was stripped and why</w:t>
      </w:r>
    </w:p>
    <w:p>
      <w:pPr>
        <w:pStyle w:val="Compact"/>
        <w:numPr>
          <w:ilvl w:val="0"/>
          <w:numId w:val="1005"/>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05"/>
        </w:numPr>
      </w:pPr>
      <w:r>
        <w:t xml:space="preserve">Pre-op HEAD commit vs post-op HEAD commit</w:t>
      </w:r>
    </w:p>
    <w:p>
      <w:pPr>
        <w:pStyle w:val="Compact"/>
        <w:numPr>
          <w:ilvl w:val="0"/>
          <w:numId w:val="1005"/>
        </w:numPr>
      </w:pPr>
      <w:r>
        <w:t xml:space="preserve">Pre-op HEAD tree hash vs post-op HEAD tree hash (MUST match for</w:t>
      </w:r>
      <w:r>
        <w:t xml:space="preserve"> </w:t>
      </w:r>
      <w:r>
        <w:t xml:space="preserve">non-content-changing rewrites)</w:t>
      </w:r>
    </w:p>
    <w:p>
      <w:pPr>
        <w:pStyle w:val="Compact"/>
        <w:numPr>
          <w:ilvl w:val="0"/>
          <w:numId w:val="1005"/>
        </w:numPr>
      </w:pPr>
      <w:r>
        <w:t xml:space="preserve">Backup location</w:t>
      </w:r>
    </w:p>
    <w:p>
      <w:r>
        <w:pict>
          <v:rect style="width:0;height:1.5pt" o:hralign="center" o:hrstd="t" o:hr="t"/>
        </w:pict>
      </w:r>
    </w:p>
    <w:bookmarkEnd w:id="12"/>
    <w:bookmarkStart w:id="13"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13"/>
    <w:bookmarkStart w:id="30" w:name="X1edec6f13ef2d6185fc10ac2828f8aa74c89dd0"/>
    <w:p>
      <w:pPr>
        <w:pStyle w:val="Heading2"/>
      </w:pPr>
      <w:r>
        <w:t xml:space="preserve">§11. End-user quality covenant</w:t>
      </w:r>
    </w:p>
    <w:bookmarkStart w:id="14"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06"/>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06"/>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07"/>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07"/>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06"/>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06"/>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06"/>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06"/>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06"/>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14"/>
    <w:bookmarkStart w:id="15"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08"/>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08"/>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08"/>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08"/>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08"/>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15"/>
    <w:bookmarkStart w:id="16"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0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1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1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10"/>
        </w:numPr>
      </w:pPr>
      <w:r>
        <w:t xml:space="preserve">Bundled assets where the bundler is committed.</w:t>
      </w:r>
    </w:p>
    <w:p>
      <w:pPr>
        <w:numPr>
          <w:ilvl w:val="0"/>
          <w:numId w:val="1009"/>
        </w:numPr>
      </w:pPr>
      <w:r>
        <w:rPr>
          <w:b/>
          <w:bCs/>
        </w:rPr>
        <w:t xml:space="preserve">Cache files</w:t>
      </w:r>
      <w:r>
        <w:t xml:space="preserve"> </w:t>
      </w:r>
      <w:r>
        <w:t xml:space="preserve">— anything a tool regenerates on demand:</w:t>
      </w:r>
    </w:p>
    <w:p>
      <w:pPr>
        <w:pStyle w:val="Compact"/>
        <w:numPr>
          <w:ilvl w:val="1"/>
          <w:numId w:val="101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0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0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1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1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1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0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0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0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16"/>
    <w:bookmarkStart w:id="1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13"/>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13"/>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13"/>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13"/>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13"/>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13"/>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17"/>
    <w:bookmarkStart w:id="1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14"/>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14"/>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14"/>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15"/>
        </w:numPr>
      </w:pPr>
      <w:r>
        <w:t xml:space="preserve">The consuming project root.</w:t>
      </w:r>
    </w:p>
    <w:p>
      <w:pPr>
        <w:pStyle w:val="Compact"/>
        <w:numPr>
          <w:ilvl w:val="0"/>
          <w:numId w:val="1015"/>
        </w:numPr>
      </w:pPr>
      <w:r>
        <w:t xml:space="preserve">Every owned submodule (per §11.4.28) — recursive.</w:t>
      </w:r>
    </w:p>
    <w:p>
      <w:pPr>
        <w:pStyle w:val="Compact"/>
        <w:numPr>
          <w:ilvl w:val="0"/>
          <w:numId w:val="1015"/>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15"/>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18"/>
    <w:bookmarkStart w:id="19"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16"/>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16"/>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17"/>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17"/>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17"/>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16"/>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16"/>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18"/>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18"/>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19"/>
    <w:bookmarkStart w:id="2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019"/>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019"/>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019"/>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019"/>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019"/>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020"/>
        </w:numPr>
      </w:pPr>
      <w:r>
        <w:t xml:space="preserve">Pushing-without-fetching produces silent stale-baseline regressions (consumer A's PR diverges from consumer B's PR; neither saw the other; both merge; resulting tree corrupts).</w:t>
      </w:r>
    </w:p>
    <w:p>
      <w:pPr>
        <w:pStyle w:val="Compact"/>
        <w:numPr>
          <w:ilvl w:val="0"/>
          <w:numId w:val="1020"/>
        </w:numPr>
      </w:pPr>
      <w:r>
        <w:t xml:space="preserve">Pulling-without-investigating destroys the foreign work's traceability (we now carry someone else's code without understanding it; future debugging crosses the §11.4.6 no-guessing line).</w:t>
      </w:r>
    </w:p>
    <w:p>
      <w:pPr>
        <w:pStyle w:val="Compact"/>
        <w:numPr>
          <w:ilvl w:val="0"/>
          <w:numId w:val="1020"/>
        </w:numPr>
      </w:pPr>
      <w:r>
        <w:t xml:space="preserve">Integrating-without-testing reproduces the §11.4 PASS-bluff pattern (we adopt a change but don't prove it works in OUR system).</w:t>
      </w:r>
    </w:p>
    <w:p>
      <w:pPr>
        <w:pStyle w:val="Compact"/>
        <w:numPr>
          <w:ilvl w:val="0"/>
          <w:numId w:val="1020"/>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21"/>
    <w:bookmarkStart w:id="22"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021"/>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022"/>
        </w:numPr>
      </w:pPr>
      <w:r>
        <w:t xml:space="preserve">Greps the working tree for mutation markers (canonical list above; the consuming project MAY extend with project-specific markers).</w:t>
      </w:r>
    </w:p>
    <w:p>
      <w:pPr>
        <w:pStyle w:val="Compact"/>
        <w:numPr>
          <w:ilvl w:val="1"/>
          <w:numId w:val="1022"/>
        </w:numPr>
      </w:pPr>
      <w:r>
        <w:t xml:space="preserve">Lists every modified / untracked / staged file and matches each one against the subagent's declared scope. Any file outside the declared scope → ABORT.</w:t>
      </w:r>
    </w:p>
    <w:p>
      <w:pPr>
        <w:pStyle w:val="Compact"/>
        <w:numPr>
          <w:ilvl w:val="1"/>
          <w:numId w:val="1022"/>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021"/>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021"/>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021"/>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021"/>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22"/>
    <w:bookmarkStart w:id="23"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23"/>
    <w:bookmarkStart w:id="24"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02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023"/>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023"/>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023"/>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023"/>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023"/>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24"/>
    <w:bookmarkStart w:id="25"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p>
      <w:pPr>
        <w:pStyle w:val="FirstParagraph"/>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bookmarkEnd w:id="25"/>
    <w:bookmarkStart w:id="26"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024"/>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024"/>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024"/>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024"/>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6"/>
    <w:bookmarkStart w:id="27"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
    <w:bookmarkStart w:id="28"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8"/>
    <w:bookmarkStart w:id="29"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20"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2026-09-28T08:06:42Z</dcterms:created>
  <dcterms:modified xsi:type="dcterms:W3CDTF">2026-09-28T08:06:42Z</dcterms:modified>
</cp:coreProperties>
</file>

<file path=docProps/custom.xml><?xml version="1.0" encoding="utf-8"?>
<Properties xmlns="http://schemas.openxmlformats.org/officeDocument/2006/custom-properties" xmlns:vt="http://schemas.openxmlformats.org/officeDocument/2006/docPropsVTypes"/>
</file>