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governance-and-constitution-meta"/>
    <w:p>
      <w:pPr>
        <w:pStyle w:val="Heading1"/>
      </w:pPr>
      <w:r>
        <w:t xml:space="preserve">Governance And Constitution Meta</w:t>
      </w:r>
    </w:p>
    <w:bookmarkStart w:id="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9"/>
    <w:bookmarkStart w:id="10"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10"/>
    <w:bookmarkStart w:id="11"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01"/>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01"/>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01"/>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01"/>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01"/>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01"/>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01"/>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11"/>
    <w:bookmarkStart w:id="1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02"/>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02"/>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02"/>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02"/>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03"/>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03"/>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03"/>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03"/>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04"/>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04"/>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04"/>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12"/>
    <w:bookmarkStart w:id="13"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05"/>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0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0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0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13"/>
    <w:bookmarkStart w:id="14"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0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07"/>
        </w:numPr>
      </w:pPr>
      <w:r>
        <w:t xml:space="preserve">The script:</w:t>
      </w:r>
    </w:p>
    <w:p>
      <w:pPr>
        <w:pStyle w:val="Compact"/>
        <w:numPr>
          <w:ilvl w:val="1"/>
          <w:numId w:val="100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08"/>
        </w:numPr>
      </w:pPr>
      <w:r>
        <w:t xml:space="preserve">Reads the newly-added submodule's</w:t>
      </w:r>
      <w:r>
        <w:t xml:space="preserve"> </w:t>
      </w:r>
      <w:r>
        <w:rPr>
          <w:rStyle w:val="VerbatimChar"/>
        </w:rPr>
        <w:t xml:space="preserve">helix-deps.yaml</w:t>
      </w:r>
      <w:r>
        <w:t xml:space="preserve">.</w:t>
      </w:r>
    </w:p>
    <w:p>
      <w:pPr>
        <w:pStyle w:val="Compact"/>
        <w:numPr>
          <w:ilvl w:val="1"/>
          <w:numId w:val="100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0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0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09"/>
        </w:numPr>
      </w:pPr>
      <w:r>
        <w:t xml:space="preserve">Bootstraps a throwaway consuming project from scratch in a temp</w:t>
      </w:r>
      <w:r>
        <w:t xml:space="preserve"> </w:t>
      </w:r>
      <w:r>
        <w:t xml:space="preserve">directory.</w:t>
      </w:r>
    </w:p>
    <w:p>
      <w:pPr>
        <w:pStyle w:val="Compact"/>
        <w:numPr>
          <w:ilvl w:val="0"/>
          <w:numId w:val="100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0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09"/>
        </w:numPr>
      </w:pPr>
      <w:r>
        <w:t xml:space="preserve">Runs the submodule's own test suite against the bootstrapped</w:t>
      </w:r>
      <w:r>
        <w:t xml:space="preserve"> </w:t>
      </w:r>
      <w:r>
        <w:t xml:space="preserve">layout; asserts pass.</w:t>
      </w:r>
    </w:p>
    <w:p>
      <w:pPr>
        <w:pStyle w:val="Compact"/>
        <w:numPr>
          <w:ilvl w:val="0"/>
          <w:numId w:val="100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14"/>
    <w:bookmarkStart w:id="15"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1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1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1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11"/>
        </w:numPr>
      </w:pPr>
      <w:r>
        <w:t xml:space="preserve">the canonical fix.</w:t>
      </w:r>
    </w:p>
    <w:p>
      <w:pPr>
        <w:pStyle w:val="Compact"/>
        <w:numPr>
          <w:ilvl w:val="0"/>
          <w:numId w:val="101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1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15"/>
    <w:bookmarkStart w:id="16"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1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1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1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1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1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1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13"/>
        </w:numPr>
      </w:pPr>
      <w:r>
        <w:t xml:space="preserve">The native import:</w:t>
      </w:r>
      <w:r>
        <w:t xml:space="preserve"> </w:t>
      </w:r>
      <w:r>
        <w:rPr>
          <w:rStyle w:val="VerbatimChar"/>
        </w:rPr>
        <w:t xml:space="preserve">@constitution/CLAUDE.md</w:t>
      </w:r>
    </w:p>
    <w:p>
      <w:pPr>
        <w:pStyle w:val="Compact"/>
        <w:numPr>
          <w:ilvl w:val="1"/>
          <w:numId w:val="101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1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1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16"/>
    <w:bookmarkStart w:id="19"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015"/>
        </w:numPr>
      </w:pPr>
      <w:r>
        <w:rPr>
          <w:b/>
          <w:bCs/>
        </w:rPr>
        <w:t xml:space="preserve">Survey the canonical Submodule catalogue.</w:t>
      </w:r>
      <w:r>
        <w:t xml:space="preserve"> </w:t>
      </w:r>
      <w:r>
        <w:t xml:space="preserve">Two organisations are authoritative:</w:t>
      </w:r>
    </w:p>
    <w:p>
      <w:pPr>
        <w:pStyle w:val="Compact"/>
        <w:numPr>
          <w:ilvl w:val="1"/>
          <w:numId w:val="1016"/>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016"/>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015"/>
        </w:numPr>
      </w:pPr>
      <w:r>
        <w:rPr>
          <w:b/>
          <w:bCs/>
        </w:rPr>
        <w:t xml:space="preserve">Inventory existing Submodules.</w:t>
      </w:r>
      <w:r>
        <w:t xml:space="preserve"> </w:t>
      </w:r>
      <w:r>
        <w:t xml:space="preserve">The canonical repo INDEX is</w:t>
      </w:r>
      <w:r>
        <w:t xml:space="preserve"> </w:t>
      </w:r>
      <w:hyperlink r:id="rId17">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015"/>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015"/>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015"/>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015"/>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017"/>
        </w:numPr>
      </w:pPr>
      <w:r>
        <w:rPr>
          <w:rStyle w:val="VerbatimChar"/>
        </w:rPr>
        <w:t xml:space="preserve">Catalogue-Check: reuse &lt;org/repo&gt;@&lt;sha&gt;</w:t>
      </w:r>
      <w:r>
        <w:t xml:space="preserve"> </w:t>
      </w:r>
      <w:r>
        <w:t xml:space="preserve">— the existing Submodule covers this.</w:t>
      </w:r>
    </w:p>
    <w:p>
      <w:pPr>
        <w:pStyle w:val="Compact"/>
        <w:numPr>
          <w:ilvl w:val="1"/>
          <w:numId w:val="1017"/>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017"/>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018"/>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018"/>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9"/>
    <w:bookmarkStart w:id="20"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01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01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01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019"/>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020"/>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021"/>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021"/>
        </w:numPr>
      </w:pPr>
      <w:r>
        <w:rPr>
          <w:rStyle w:val="VerbatimChar"/>
        </w:rPr>
        <w:t xml:space="preserve">scripts/git_hooks/pre-commit</w:t>
      </w:r>
      <w:r>
        <w:t xml:space="preserve"> </w:t>
      </w:r>
      <w:r>
        <w:t xml:space="preserve">— Layer 1 implementation.</w:t>
      </w:r>
    </w:p>
    <w:p>
      <w:pPr>
        <w:pStyle w:val="Compact"/>
        <w:numPr>
          <w:ilvl w:val="0"/>
          <w:numId w:val="1021"/>
        </w:numPr>
      </w:pPr>
      <w:r>
        <w:rPr>
          <w:rStyle w:val="VerbatimChar"/>
        </w:rPr>
        <w:t xml:space="preserve">scripts/git_hooks/pre-push</w:t>
      </w:r>
      <w:r>
        <w:t xml:space="preserve"> </w:t>
      </w:r>
      <w:r>
        <w:t xml:space="preserve">— Layer 3 implementation.</w:t>
      </w:r>
    </w:p>
    <w:p>
      <w:pPr>
        <w:pStyle w:val="Compact"/>
        <w:numPr>
          <w:ilvl w:val="0"/>
          <w:numId w:val="1021"/>
        </w:numPr>
      </w:pPr>
      <w:r>
        <w:rPr>
          <w:rStyle w:val="VerbatimChar"/>
        </w:rPr>
        <w:t xml:space="preserve">scripts/git_hooks/post-commit</w:t>
      </w:r>
      <w:r>
        <w:t xml:space="preserve"> </w:t>
      </w:r>
      <w:r>
        <w:t xml:space="preserve">— Layer 4 implementation.</w:t>
      </w:r>
    </w:p>
    <w:p>
      <w:pPr>
        <w:pStyle w:val="Compact"/>
        <w:numPr>
          <w:ilvl w:val="0"/>
          <w:numId w:val="1021"/>
        </w:numPr>
      </w:pPr>
      <w:r>
        <w:rPr>
          <w:rStyle w:val="VerbatimChar"/>
        </w:rPr>
        <w:t xml:space="preserve">scripts/git_hooks/commit-msg</w:t>
      </w:r>
      <w:r>
        <w:t xml:space="preserve"> </w:t>
      </w:r>
      <w:r>
        <w:t xml:space="preserve">— Bypass-rationale enforcement.</w:t>
      </w:r>
    </w:p>
    <w:p>
      <w:pPr>
        <w:pStyle w:val="Compact"/>
        <w:numPr>
          <w:ilvl w:val="0"/>
          <w:numId w:val="1021"/>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022"/>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022"/>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022"/>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022"/>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023"/>
        </w:numPr>
      </w:pPr>
      <w:r>
        <w:rPr>
          <w:rStyle w:val="VerbatimChar"/>
        </w:rPr>
        <w:t xml:space="preserve">CM-COVENANT-114-75-PROPAGATION</w:t>
      </w:r>
      <w:r>
        <w:t xml:space="preserve"> </w:t>
      </w:r>
      <w:r>
        <w:t xml:space="preserve">— anchor literal across canonical files.</w:t>
      </w:r>
    </w:p>
    <w:p>
      <w:pPr>
        <w:pStyle w:val="Compact"/>
        <w:numPr>
          <w:ilvl w:val="0"/>
          <w:numId w:val="1023"/>
        </w:numPr>
      </w:pPr>
      <w:r>
        <w:rPr>
          <w:rStyle w:val="VerbatimChar"/>
        </w:rPr>
        <w:t xml:space="preserve">CM-GIT-HOOKS-INSTALL-SCRIPT</w:t>
      </w:r>
      <w:r>
        <w:t xml:space="preserve"> </w:t>
      </w:r>
      <w:r>
        <w:t xml:space="preserve">— installer present + executable.</w:t>
      </w:r>
    </w:p>
    <w:p>
      <w:pPr>
        <w:pStyle w:val="Compact"/>
        <w:numPr>
          <w:ilvl w:val="0"/>
          <w:numId w:val="1023"/>
        </w:numPr>
      </w:pPr>
      <w:r>
        <w:rPr>
          <w:rStyle w:val="VerbatimChar"/>
        </w:rPr>
        <w:t xml:space="preserve">CM-GIT-HOOKS-SOURCE-DIR</w:t>
      </w:r>
      <w:r>
        <w:t xml:space="preserve"> </w:t>
      </w:r>
      <w:r>
        <w:t xml:space="preserve">— 4 hook bodies present + executable.</w:t>
      </w:r>
    </w:p>
    <w:p>
      <w:pPr>
        <w:pStyle w:val="Compact"/>
        <w:numPr>
          <w:ilvl w:val="0"/>
          <w:numId w:val="1023"/>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023"/>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20"/>
    <w:bookmarkStart w:id="23"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21">
        <w:r>
          <w:rPr>
            <w:rStyle w:val="Hyperlink"/>
          </w:rPr>
          <w:t xml:space="preserve">https://github.com/vasic-digital/containers</w:t>
        </w:r>
      </w:hyperlink>
      <w:r>
        <w:t xml:space="preserve"> </w:t>
      </w:r>
      <w:r>
        <w:t xml:space="preserve">(</w:t>
      </w:r>
      <w:hyperlink r:id="rId22">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024"/>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024"/>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024"/>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024"/>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024"/>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024"/>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025"/>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025"/>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23"/>
    <w:bookmarkStart w:id="24"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026"/>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026"/>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027"/>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027"/>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027"/>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027"/>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028"/>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028"/>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028"/>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028"/>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028"/>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028"/>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028"/>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028"/>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028"/>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029"/>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029"/>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029"/>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24"/>
    <w:bookmarkStart w:id="25"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030"/>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030"/>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030"/>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030"/>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030"/>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030"/>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031"/>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031"/>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031"/>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031"/>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25"/>
    <w:bookmarkStart w:id="26"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032"/>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032"/>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032"/>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032"/>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032"/>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033"/>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033"/>
        </w:numPr>
      </w:pPr>
      <w:r>
        <w:t xml:space="preserve">§11.4.78 (CodeGraph mandate): this §11.4.79 refines step 2's exclude-list contract without weakening any other step.</w:t>
      </w:r>
    </w:p>
    <w:p>
      <w:pPr>
        <w:pStyle w:val="Compact"/>
        <w:numPr>
          <w:ilvl w:val="0"/>
          <w:numId w:val="1033"/>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033"/>
        </w:numPr>
      </w:pPr>
      <w:r>
        <w:t xml:space="preserve">§1.1 (paired mutation): every validate probe added per step 5 above MUST land with a mutation pair.</w:t>
      </w:r>
    </w:p>
    <w:p>
      <w:pPr>
        <w:pStyle w:val="Compact"/>
        <w:numPr>
          <w:ilvl w:val="0"/>
          <w:numId w:val="1033"/>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034"/>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034"/>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034"/>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26"/>
    <w:bookmarkStart w:id="27"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03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03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03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036"/>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036"/>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036"/>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036"/>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036"/>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27"/>
    <w:bookmarkStart w:id="2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037"/>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037"/>
        </w:numPr>
      </w:pPr>
      <w:r>
        <w:t xml:space="preserve">Exits 0 for non-Bash tools (pass-through) and empty/missing commands.</w:t>
      </w:r>
    </w:p>
    <w:p>
      <w:pPr>
        <w:numPr>
          <w:ilvl w:val="0"/>
          <w:numId w:val="1037"/>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037"/>
        </w:numPr>
      </w:pPr>
      <w:r>
        <w:t xml:space="preserve">Exits 2 (block) when a match is found; the stderr text printed is fed back to the agent as the refusal reason, citing the governing clause.</w:t>
      </w:r>
    </w:p>
    <w:p>
      <w:pPr>
        <w:numPr>
          <w:ilvl w:val="0"/>
          <w:numId w:val="1037"/>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038"/>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038"/>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039"/>
        </w:numPr>
      </w:pPr>
      <w:r>
        <w:t xml:space="preserve">Before any subagent dispatch: confirm the preamble (sub-rule B) is pasted verbatim.</w:t>
      </w:r>
    </w:p>
    <w:p>
      <w:pPr>
        <w:pStyle w:val="Compact"/>
        <w:numPr>
          <w:ilvl w:val="0"/>
          <w:numId w:val="1039"/>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039"/>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039"/>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039"/>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040"/>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040"/>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040"/>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040"/>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040"/>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28"/>
    <w:bookmarkStart w:id="29"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041"/>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29"/>
    <w:bookmarkStart w:id="30"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042"/>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042"/>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042"/>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042"/>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042"/>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042"/>
        </w:numPr>
      </w:pPr>
      <w:r>
        <w:rPr>
          <w:b/>
          <w:bCs/>
        </w:rPr>
        <w:t xml:space="preserve">Tool-call efficiency.</w:t>
      </w:r>
      <w:r>
        <w:t xml:space="preserve"> </w:t>
      </w:r>
      <w:r>
        <w:t xml:space="preserve">Batch independent tool calls in one block; reuse harness-tracked file state; reuse persisted tool outputs.</w:t>
      </w:r>
    </w:p>
    <w:p>
      <w:pPr>
        <w:numPr>
          <w:ilvl w:val="0"/>
          <w:numId w:val="1042"/>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30"/>
    <w:bookmarkStart w:id="31"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31"/>
    <w:bookmarkStart w:id="32"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32"/>
    <w:bookmarkStart w:id="3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33"/>
    <w:bookmarkStart w:id="34"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043"/>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043"/>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043"/>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043"/>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bookmarkEnd w:id="34"/>
    <w:bookmarkStart w:id="35"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35"/>
    <w:bookmarkStart w:id="36"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36"/>
    <w:bookmarkStart w:id="37"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37"/>
    <w:bookmarkStart w:id="38"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38"/>
    <w:bookmarkStart w:id="39"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044"/>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044"/>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044"/>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045"/>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045"/>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045"/>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046"/>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046"/>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046"/>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046"/>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047"/>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047"/>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048"/>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Gemini CLI, Qwen Code: per-platform equivalent wiring mechanism (consumer-supplied DATA, §11.4.35)</w:t>
      </w:r>
    </w:p>
    <w:p>
      <w:pPr>
        <w:pStyle w:val="Compact"/>
        <w:numPr>
          <w:ilvl w:val="0"/>
          <w:numId w:val="1047"/>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047"/>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047"/>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047"/>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049"/>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049"/>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049"/>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049"/>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39"/>
    <w:bookmarkStart w:id="40"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40"/>
    <w:bookmarkStart w:id="41"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050"/>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050"/>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050"/>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050"/>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050"/>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050"/>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050"/>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050"/>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050"/>
        </w:numPr>
      </w:pPr>
      <w:r>
        <w:t xml:space="preserve">A "does the guard block this?" probe used a command the guard does not target, so it ran unblocked and proved nothing either way — an inconclusive result that reads as a negative.</w:t>
      </w:r>
    </w:p>
    <w:p>
      <w:pPr>
        <w:pStyle w:val="Compact"/>
        <w:numPr>
          <w:ilvl w:val="0"/>
          <w:numId w:val="1050"/>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050"/>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050"/>
        </w:numPr>
      </w:pPr>
      <w:r>
        <w:t xml:space="preserve">A positive control was chosen that WAS the very question under test, so it could not discriminate between "the instrument works" and "the answer is yes".</w:t>
      </w:r>
    </w:p>
    <w:p>
      <w:pPr>
        <w:pStyle w:val="Compact"/>
        <w:numPr>
          <w:ilvl w:val="0"/>
          <w:numId w:val="1050"/>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050"/>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050"/>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051"/>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051"/>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051"/>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051"/>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051"/>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051"/>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051"/>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41"/>
    <w:bookmarkStart w:id="42"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42"/>
    <w:bookmarkStart w:id="43"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2026-09-28T08:06:47Z</dcterms:created>
  <dcterms:modified xsi:type="dcterms:W3CDTF">2026-09-28T08:06:47Z</dcterms:modified>
</cp:coreProperties>
</file>

<file path=docProps/custom.xml><?xml version="1.0" encoding="utf-8"?>
<Properties xmlns="http://schemas.openxmlformats.org/officeDocument/2006/custom-properties" xmlns:vt="http://schemas.openxmlformats.org/officeDocument/2006/docPropsVTypes"/>
</file>