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r_good_killed_reuse-golden-good"/>
    <w:p>
      <w:pPr>
        <w:pStyle w:val="Heading1"/>
      </w:pPr>
      <w:r>
        <w:t xml:space="preserve">mr_good_killed_reuse (golden-good)</w:t>
      </w:r>
    </w:p>
    <w:p>
      <w:pPr>
        <w:pStyle w:val="FirstParagraph"/>
      </w:pPr>
      <w:r>
        <w:t xml:space="preserve">Everything (patch, gate script, observed inputs, tool versions) is byte-identical between the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(verdict=KILLED) and the subsequent</w:t>
      </w:r>
      <w:r>
        <w:t xml:space="preserve"> </w:t>
      </w:r>
      <w:r>
        <w:rPr>
          <w:rStyle w:val="VerbatimChar"/>
        </w:rPr>
        <w:t xml:space="preserve">get</w:t>
      </w:r>
      <w:r>
        <w:t xml:space="preserve">. DEC-23: a KILLED verdict under an unchanged key MUST be reused, never re-run.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HIT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2026-09-29T05:05:57Z</dcterms:created>
  <dcterms:modified xsi:type="dcterms:W3CDTF">2026-09-29T05:05:57Z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