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44</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2026-10-05T07:49:21Z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2026-10-05 — NEW §11.4.276 (review-round budget, 5-7 max, operator CRITICAL mandate) landed, with reconciling extensions to §11.4.134 and §11.4.267(E); full detail in the canonical Constitution.md header (same date). Prior round: 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Revision 40: 64 anchor blocks mirrored from QWEN.md (§11.4.87 and §11.4.139 deliberately NOT mirrored: QWEN's copies swallow stray sections).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9" w:name="token-efficiency-mandate-114141"/>
    <w:p>
      <w:pPr>
        <w:pStyle w:val="Heading2"/>
      </w:pPr>
      <w:r>
        <w:t xml:space="preserve">Token-efficiency mandate (§11.4.141)</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4"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1"/>
        </w:numPr>
      </w:pPr>
      <w:r>
        <w:t xml:space="preserve">Challenges —</w:t>
      </w:r>
      <w:r>
        <w:t xml:space="preserve"> </w:t>
      </w:r>
      <w:r>
        <w:rPr>
          <w:rStyle w:val="VerbatimChar"/>
        </w:rPr>
        <w:t xml:space="preserve">git@github.com:vasic-digital/Challenges.git</w:t>
      </w:r>
    </w:p>
    <w:p>
      <w:pPr>
        <w:pStyle w:val="Compact"/>
        <w:numPr>
          <w:ilvl w:val="0"/>
          <w:numId w:val="1001"/>
        </w:numPr>
      </w:pPr>
      <w:r>
        <w:t xml:space="preserve">HelixQA —</w:t>
      </w:r>
      <w:r>
        <w:t xml:space="preserve"> </w:t>
      </w:r>
      <w:r>
        <w:rPr>
          <w:rStyle w:val="VerbatimChar"/>
        </w:rPr>
        <w:t xml:space="preserve">git@github.com:HelixDevelopment/HelixQA.git</w:t>
      </w:r>
    </w:p>
    <w:p>
      <w:pPr>
        <w:pStyle w:val="Compact"/>
        <w:numPr>
          <w:ilvl w:val="0"/>
          <w:numId w:val="1001"/>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4"/>
    <w:bookmarkStart w:id="15"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5"/>
    <w:bookmarkStart w:id="16"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6"/>
    <w:bookmarkStart w:id="17"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7"/>
    <w:bookmarkStart w:id="18"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