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70</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2026-10-05T07:49:21Z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2026-10-05 — NEW §11.4.276 (review-round budget, 5-7 max, operator CRITICAL mandate) landed, with reconciling extensions to §11.4.134 and §11.4.267(E); full detail in the canonical Constitution.md header (same date).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1" w:name="Xf8b620886f81d34c293a43b4be8e7ddbf345c1f"/>
    <w:p>
      <w:pPr>
        <w:pStyle w:val="Heading2"/>
      </w:pPr>
      <w:r>
        <w:t xml:space="preserve">Critical base rules restated (for agents that don't honour @imports)</w: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3">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5">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6"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6"/>
    <w:bookmarkStart w:id="17"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7"/>
    <w:bookmarkStart w:id="18"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8"/>
    <w:bookmarkStart w:id="19"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9"/>
    <w:bookmarkStart w:id="20"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4" Target="Constitution.md" TargetMode="External" /><Relationship Type="http://schemas.openxmlformats.org/officeDocument/2006/relationships/hyperlink" Id="rId15"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