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02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02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03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02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04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02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05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02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06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02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07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02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08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02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09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1"/>
          <w:numId w:val="1002"/>
        </w:numPr>
      </w:pPr>
      <w:r>
        <w:t xml:space="preserve">Wave 73 (5 units, subagent-driven, 5 parallel streams in disjoint packages; impl→spec-review→quality-review + independent build/vet/-race/mutation gate):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provider/ionet</w:t>
      </w:r>
      <w:r>
        <w:t xml:space="preserve"> </w:t>
      </w:r>
      <w:r>
        <w:t xml:space="preserve">— IONetProvider over the io.net REST API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, injectable base URL +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+ bearer):</w:t>
      </w:r>
      <w:r>
        <w:t xml:space="preserve"> </w:t>
      </w:r>
      <w:r>
        <w:rPr>
          <w:rStyle w:val="VerbatimChar"/>
        </w:rPr>
        <w:t xml:space="preserve">DeployCluster</w:t>
      </w:r>
      <w:r>
        <w:t xml:space="preserve"> </w:t>
      </w:r>
      <w:r>
        <w:t xml:space="preserve">returns the backend-minted cluster run-UUID (parsed, never fabricated),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derives healthy state, concurrency-safe reserve-under-lock capacity gate; closure proven against a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 </w:t>
      </w:r>
      <w:r>
        <w:t xml:space="preserve">io.net backend (HXC-1514).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gitops</w:t>
      </w:r>
      <w:r>
        <w:t xml:space="preserve"> </w:t>
      </w:r>
      <w:r>
        <w:t xml:space="preserve">— ArgoCD ApplicationSet federation client: matrix generator expands one Application per cell,</w:t>
      </w:r>
      <w:r>
        <w:t xml:space="preserve"> </w:t>
      </w:r>
      <w:r>
        <w:rPr>
          <w:rStyle w:val="VerbatimChar"/>
        </w:rPr>
        <w:t xml:space="preserve">syncPolicy</w:t>
      </w:r>
      <w:r>
        <w:t xml:space="preserve"> </w:t>
      </w:r>
      <w:r>
        <w:t xml:space="preserve">prune+selfHeal, RollingSync canary→tier-2 (50%)→tier-1 (25%) ordering, drift/prune detection; logic proven vs an httptest ArgoCD, strictly-live UI capture honestly skipped (follow-up HXC-922) (HXC-1367).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internal/federation</w:t>
      </w:r>
      <w:r>
        <w:t xml:space="preserve"> </w:t>
      </w:r>
      <w:r>
        <w:t xml:space="preserve">— Karmada PropagationPolicy + OverridePolicy engine (CRs modeled as Go structs → YAML, no client-go dep) with constraint-aware (data-locality/latency/cost/compliance) two-level cell selection and failover reselect; deterministic failover proven via in-process FakeHub, live Karmada &lt;60s capture honestly skipped (follow-up HXC-924) (HXC-1364).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health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miner.go</w:t>
      </w:r>
      <w:r>
        <w:t xml:space="preserve">) — miner-api + GraVal bootstrap DaemonSet dependency checks wired into the health rollup, naming the specific failing check; healthy→unhealthy delta proven against an httptest miner-api (HXC-1484).</w:t>
      </w:r>
    </w:p>
    <w:p>
      <w:pPr>
        <w:pStyle w:val="Compact"/>
        <w:numPr>
          <w:ilvl w:val="2"/>
          <w:numId w:val="1010"/>
        </w:numPr>
      </w:pPr>
      <w:r>
        <w:rPr>
          <w:rStyle w:val="VerbatimChar"/>
        </w:rPr>
        <w:t xml:space="preserve">discovery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mdns.go</w:t>
      </w:r>
      <w:r>
        <w:t xml:space="preserve">) — mDNS/DNS-SD advertiser+browser on</w:t>
      </w:r>
      <w:r>
        <w:t xml:space="preserve"> </w:t>
      </w:r>
      <w:r>
        <w:rPr>
          <w:rStyle w:val="VerbatimChar"/>
        </w:rPr>
        <w:t xml:space="preserve">_helix-cluster._tcp</w:t>
      </w:r>
      <w:r>
        <w:t xml:space="preserve"> </w:t>
      </w:r>
      <w:r>
        <w:t xml:space="preserve">(stdlib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x/net/dnsmessage</w:t>
      </w:r>
      <w:r>
        <w:t xml:space="preserve">): TXT encode/decode + reject-invalid + in-process loopback discovery; real-multicast two-node LAN capture sandbox-skipped (follow-up HXC-925); discovery-only (trust via SPIFFE) (HXC-1347).</w:t>
      </w:r>
    </w:p>
    <w:p>
      <w:pPr>
        <w:pStyle w:val="Compact"/>
        <w:numPr>
          <w:ilvl w:val="2"/>
          <w:numId w:val="1010"/>
        </w:numPr>
      </w:pPr>
      <w:r>
        <w:t xml:space="preserve">Reconciled stale P0</w:t>
      </w:r>
      <w:r>
        <w:t xml:space="preserve"> </w:t>
      </w:r>
      <w:r>
        <w:rPr>
          <w:rStyle w:val="VerbatimChar"/>
        </w:rPr>
        <w:t xml:space="preserve">HXC-904</w:t>
      </w:r>
      <w:r>
        <w:t xml:space="preserve"> </w:t>
      </w:r>
      <w:r>
        <w:t xml:space="preserve">Phase-4 Build Service: delivered podman-based multi-arch container build orchestration + artifact cache (</w:t>
      </w:r>
      <w:r>
        <w:rPr>
          <w:rStyle w:val="VerbatimChar"/>
        </w:rPr>
        <w:t xml:space="preserve">internal/build</w:t>
      </w:r>
      <w:r>
        <w:t xml:space="preserve">/</w:t>
      </w:r>
      <w:r>
        <w:rPr>
          <w:rStyle w:val="VerbatimChar"/>
        </w:rPr>
        <w:t xml:space="preserve">pkg/build</w:t>
      </w:r>
      <w:r>
        <w:t xml:space="preserve">/</w:t>
      </w:r>
      <w:r>
        <w:rPr>
          <w:rStyle w:val="VerbatimChar"/>
        </w:rPr>
        <w:t xml:space="preserve">cmd/helix-build</w:t>
      </w:r>
      <w:r>
        <w:t xml:space="preserve">, green) marked Completed; Bazel REAPI interop split to follow-up HXC-921.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2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