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5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federated, + mDNS/DNS-SD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advertiser/browser: TXT cellid/nodeid/wgpubkey, reject-invalid; discovery-only, trust via SPIFFE),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internal/federation</w:t>
            </w:r>
            <w:r>
              <w:t xml:space="preserve"> </w:t>
            </w:r>
            <w:r>
              <w:t xml:space="preserve">(Karmada PropagationPolicy/OverridePolicy engine: constraint-aware two-level cell selection + &lt;60s failover reselect),</w:t>
            </w:r>
            <w:r>
              <w:t xml:space="preserve"> </w:t>
            </w:r>
            <w:r>
              <w:rPr>
                <w:rStyle w:val="VerbatimChar"/>
              </w:rPr>
              <w:t xml:space="preserve">gitops</w:t>
            </w:r>
            <w:r>
              <w:t xml:space="preserve"> </w:t>
            </w:r>
            <w:r>
              <w:t xml:space="preserve">(ArgoCD ApplicationSet client: matrix per-cell generation + prune/self-heal + canary→tier-2→tier-1 rolling sync + drift/prune),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+ Akash/AKT adapters),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provider/chutes</w:t>
            </w:r>
            <w:r>
              <w:t xml:space="preserve"> </w:t>
            </w:r>
            <w:r>
              <w:t xml:space="preserve">(OpenAI-compatible /v1 provider + 429 retry/backoff + Retry-After),</w:t>
            </w:r>
            <w:r>
              <w:t xml:space="preserve"> </w:t>
            </w:r>
            <w:r>
              <w:rPr>
                <w:rStyle w:val="VerbatimChar"/>
              </w:rPr>
              <w:t xml:space="preserve">provider/runpod</w:t>
            </w:r>
            <w:r>
              <w:t xml:space="preserve"> </w:t>
            </w:r>
            <w:r>
              <w:t xml:space="preserve">(serverless warm-pool GPUProvider),</w:t>
            </w:r>
            <w:r>
              <w:t xml:space="preserve"> </w:t>
            </w:r>
            <w:r>
              <w:rPr>
                <w:rStyle w:val="VerbatimChar"/>
              </w:rPr>
              <w:t xml:space="preserve">provider/aws</w:t>
            </w:r>
            <w:r>
              <w:t xml:space="preserve"> </w:t>
            </w:r>
            <w:r>
              <w:t xml:space="preserve">(EC2 Spot GPUProvider, injectable client),</w:t>
            </w:r>
            <w:r>
              <w:t xml:space="preserve"> </w:t>
            </w:r>
            <w:r>
              <w:rPr>
                <w:rStyle w:val="VerbatimChar"/>
              </w:rPr>
              <w:t xml:space="preserve">provider/ionet</w:t>
            </w:r>
            <w:r>
              <w:t xml:space="preserve"> </w:t>
            </w:r>
            <w:r>
              <w:t xml:space="preserve">(io.net REST Ray-cluster GPUProvider: DeployCluster/HealthCheck + capacity gate,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 </w:t>
            </w:r>
            <w:r>
              <w:t xml:space="preserve">(+ miner-api/GraVal DaemonSet dependency checks named in the rollup),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0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5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6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9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9"/>
    <w:bookmarkEnd w:id="30"/>
    <w:bookmarkStart w:id="31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1"/>
    <w:bookmarkStart w:id="32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2"/>
    <w:bookmarkStart w:id="3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