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2026-06-01T21:34:21Z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  <w:tc>
          <w:tcPr/>
          <w:p>
            <w:pPr>
              <w:pStyle w:val="Compact"/>
            </w:pPr>
            <w:r>
              <w:t xml:space="preserve">Foundation wave 17: mark 3 items Completed (HXC-1097/1111/1112) — GPUBackend interface+registry+AutoDetect (honest ErrUnsupported for compute) / gRPC W3C trace-ID propagation (3-hop proven) / standard grpc.health.v1 wired into 6 services. All 3 mutation spot-checks confirm assertions bite. Registry 171-&gt;174 Completed / 465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a0d623e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2026-06-01T21:34:21Z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