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NODE_PROVISIONING_BOUNDARY</w:t>
      </w:r>
    </w:p>
    <w:bookmarkStart w:id="19" w:name="Xb8e1785109764f2b12ffd709076e90c1e18dbb5"/>
    <w:p>
      <w:pPr>
        <w:pStyle w:val="Heading1"/>
      </w:pPr>
      <w:r>
        <w:t xml:space="preserve">Helix Cluster OS — Node-Provisioning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HXC-1146.</w:t>
      </w:r>
      <w:r>
        <w:t xml:space="preserve"> </w:t>
      </w:r>
      <w:r>
        <w:t xml:space="preserve">This document is the canonical, normative statement of the</w:t>
      </w:r>
      <w:r>
        <w:t xml:space="preserve"> </w:t>
      </w:r>
      <w:r>
        <w:t xml:space="preserve">node-provisioning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for Helix Cluster OS. It defines, without</w:t>
      </w:r>
      <w:r>
        <w:t xml:space="preserve"> </w:t>
      </w:r>
      <w:r>
        <w:t xml:space="preserve">ambiguity, what the project does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 when a node is brought</w:t>
      </w:r>
      <w:r>
        <w:t xml:space="preserve"> </w:t>
      </w:r>
      <w:r>
        <w:t xml:space="preserve">into the cluster. It is binding on every component that provisions, flashes,</w:t>
      </w:r>
      <w:r>
        <w:t xml:space="preserve"> </w:t>
      </w:r>
      <w:r>
        <w:t xml:space="preserve">onboards, enrolls, or attests a node.</w:t>
      </w:r>
    </w:p>
    <w:p>
      <w:r>
        <w:pict>
          <v:rect style="width:0;height:1.5pt" o:hralign="center" o:hrstd="t" o:hr="t"/>
        </w:pict>
      </w:r>
    </w:p>
    <w:bookmarkStart w:id="9" w:name="normative-statement"/>
    <w:p>
      <w:pPr>
        <w:pStyle w:val="Heading2"/>
      </w:pPr>
      <w:r>
        <w:t xml:space="preserve">1. Normative Statement</w:t>
      </w:r>
    </w:p>
    <w:p>
      <w:pPr>
        <w:pStyle w:val="FirstParagraph"/>
      </w:pPr>
      <w:r>
        <w:rPr>
          <w:b/>
          <w:bCs/>
        </w:rPr>
        <w:t xml:space="preserve">Helix Cluster OS provisions and onboards nodes that the operator already</w:t>
      </w:r>
      <w:r>
        <w:rPr>
          <w:b/>
          <w:bCs/>
        </w:rPr>
        <w:t xml:space="preserve"> </w:t>
      </w:r>
      <w:r>
        <w:rPr>
          <w:b/>
          <w:bCs/>
        </w:rPr>
        <w:t xml:space="preserve">controls and has lawful administrative access to. It does NOT defeat, bypass,</w:t>
      </w:r>
      <w:r>
        <w:rPr>
          <w:b/>
          <w:bCs/>
        </w:rPr>
        <w:t xml:space="preserve"> </w:t>
      </w:r>
      <w:r>
        <w:rPr>
          <w:b/>
          <w:bCs/>
        </w:rPr>
        <w:t xml:space="preserve">or weaken any device’s security model.</w:t>
      </w:r>
    </w:p>
    <w:p>
      <w:pPr>
        <w:pStyle w:val="BodyText"/>
      </w:pPr>
      <w:r>
        <w:t xml:space="preserve">The project’s provisioning surface — building agent images, flashing</w:t>
      </w:r>
      <w:r>
        <w:t xml:space="preserve"> </w:t>
      </w:r>
      <w:r>
        <w:t xml:space="preserve">operator-owned boards, side-loading the agent onto operator-controlled devices,</w:t>
      </w:r>
      <w:r>
        <w:t xml:space="preserve"> </w:t>
      </w:r>
      <w:r>
        <w:t xml:space="preserve">enrolling owned servers, mesh enrollment, attestation, and trust admission —</w:t>
      </w:r>
      <w:r>
        <w:t xml:space="preserve"> </w:t>
      </w:r>
      <w:r>
        <w:t xml:space="preserve">begins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operator has lawful root/admin control of the device. The</w:t>
      </w:r>
      <w:r>
        <w:t xml:space="preserve"> </w:t>
      </w:r>
      <w:r>
        <w:t xml:space="preserve">act of</w:t>
      </w:r>
      <w:r>
        <w:t xml:space="preserve"> </w:t>
      </w:r>
      <w:r>
        <w:rPr>
          <w:i/>
          <w:iCs/>
        </w:rPr>
        <w:t xml:space="preserve">obtaining</w:t>
      </w:r>
      <w:r>
        <w:t xml:space="preserve"> </w:t>
      </w:r>
      <w:r>
        <w:t xml:space="preserve">that control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and is the operator’s own,</w:t>
      </w:r>
      <w:r>
        <w:t xml:space="preserve"> </w:t>
      </w:r>
      <w:r>
        <w:t xml:space="preserve">independently-acquired responsibility.</w:t>
      </w:r>
    </w:p>
    <w:p>
      <w:pPr>
        <w:pStyle w:val="BodyText"/>
      </w:pPr>
      <w:r>
        <w:t xml:space="preserve">The verbs</w:t>
      </w:r>
      <w:r>
        <w:t xml:space="preserve"> </w:t>
      </w:r>
      <w:r>
        <w:rPr>
          <w:b/>
          <w:bCs/>
        </w:rPr>
        <w:t xml:space="preserve">MUST</w:t>
      </w:r>
      <w:r>
        <w:t xml:space="preserve">,</w:t>
      </w:r>
      <w:r>
        <w:t xml:space="preserve"> </w:t>
      </w:r>
      <w:r>
        <w:rPr>
          <w:b/>
          <w:bCs/>
        </w:rPr>
        <w:t xml:space="preserve">MUST NOT</w:t>
      </w:r>
      <w:r>
        <w:t xml:space="preserve">,</w:t>
      </w:r>
      <w:r>
        <w:t xml:space="preserve"> </w:t>
      </w:r>
      <w:r>
        <w:rPr>
          <w:b/>
          <w:bCs/>
        </w:rPr>
        <w:t xml:space="preserve">SHALL</w:t>
      </w:r>
      <w:r>
        <w:t xml:space="preserve">, and</w:t>
      </w:r>
      <w:r>
        <w:t xml:space="preserve"> </w:t>
      </w:r>
      <w:r>
        <w:rPr>
          <w:b/>
          <w:bCs/>
        </w:rPr>
        <w:t xml:space="preserve">SHALL NOT</w:t>
      </w:r>
      <w:r>
        <w:t xml:space="preserve"> </w:t>
      </w:r>
      <w:r>
        <w:t xml:space="preserve">in this document</w:t>
      </w:r>
      <w:r>
        <w:t xml:space="preserve"> </w:t>
      </w:r>
      <w:r>
        <w:t xml:space="preserve">are normative (RFC 2119 sense).</w:t>
      </w:r>
    </w:p>
    <w:p>
      <w:r>
        <w:pict>
          <v:rect style="width:0;height:1.5pt" o:hralign="center" o:hrstd="t" o:hr="t"/>
        </w:pict>
      </w:r>
    </w:p>
    <w:bookmarkEnd w:id="9"/>
    <w:bookmarkStart w:id="10" w:name="X32ebb9440b11704486442a8a081872b02dec63e"/>
    <w:p>
      <w:pPr>
        <w:pStyle w:val="Heading2"/>
      </w:pPr>
      <w:r>
        <w:t xml:space="preserve">2. OUT OF SCOPE (the project MUST NOT implement)</w:t>
      </w:r>
    </w:p>
    <w:p>
      <w:pPr>
        <w:pStyle w:val="FirstParagraph"/>
      </w:pPr>
      <w:r>
        <w:t xml:space="preserve">Helix Cluster OS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implement, ship, bundle, document-as-a-feature,</w:t>
      </w:r>
      <w:r>
        <w:t xml:space="preserve"> </w:t>
      </w:r>
      <w:r>
        <w:t xml:space="preserve">or automate any of the following, because each requires defeating a device’s</w:t>
      </w:r>
      <w:r>
        <w:t xml:space="preserve"> </w:t>
      </w:r>
      <w:r>
        <w:t xml:space="preserve">security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Jailbreaking</w:t>
      </w:r>
      <w:r>
        <w:t xml:space="preserve"> </w:t>
      </w:r>
      <w:r>
        <w:t xml:space="preserve">— escaping a vendor-locked OS sandbox (e.g. consoles,</w:t>
      </w:r>
      <w:r>
        <w:t xml:space="preserve"> </w:t>
      </w:r>
      <w:r>
        <w:t xml:space="preserve">locked mobile OSes).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Rooting</w:t>
      </w:r>
      <w:r>
        <w:t xml:space="preserve"> </w:t>
      </w:r>
      <w:r>
        <w:t xml:space="preserve">— privilege-escalation exploits to obtain administrative access</w:t>
      </w:r>
      <w:r>
        <w:t xml:space="preserve"> </w:t>
      </w:r>
      <w:r>
        <w:t xml:space="preserve">the device’s owner has not been granted by lawful means.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Bootloader unlocking via exploit</w:t>
      </w:r>
      <w:r>
        <w:t xml:space="preserve"> </w:t>
      </w:r>
      <w:r>
        <w:t xml:space="preserve">— defeating a locked or signed</w:t>
      </w:r>
      <w:r>
        <w:t xml:space="preserve"> </w:t>
      </w:r>
      <w:r>
        <w:t xml:space="preserve">bootloader / verified-boot / secure-boot chain.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Carrier / SIM / network unlock</w:t>
      </w:r>
      <w:r>
        <w:t xml:space="preserve"> </w:t>
      </w:r>
      <w:r>
        <w:t xml:space="preserve">— removing carrier or operator locks.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DRM / signature / fuse / TPM bypass</w:t>
      </w:r>
      <w:r>
        <w:t xml:space="preserve"> </w:t>
      </w:r>
      <w:r>
        <w:t xml:space="preserve">— circumventing code-signing,</w:t>
      </w:r>
      <w:r>
        <w:t xml:space="preserve"> </w:t>
      </w:r>
      <w:r>
        <w:t xml:space="preserve">e-fuse, secure-enclave, or attestation enforcement that the device vendor</w:t>
      </w:r>
      <w:r>
        <w:t xml:space="preserve"> </w:t>
      </w:r>
      <w:r>
        <w:t xml:space="preserve">put in 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 OS- or security-bypass</w:t>
      </w:r>
      <w:r>
        <w:t xml:space="preserve"> </w:t>
      </w:r>
      <w:r>
        <w:t xml:space="preserve">— any technique whose purpose is to obtain</w:t>
      </w:r>
      <w:r>
        <w:t xml:space="preserve"> </w:t>
      </w:r>
      <w:r>
        <w:t xml:space="preserve">access that a device’s security model is designed to deny.</w:t>
      </w:r>
    </w:p>
    <w:p>
      <w:pPr>
        <w:pStyle w:val="FirstParagraph"/>
      </w:pPr>
      <w:r>
        <w:t xml:space="preserve">A pull request, package, script, or document that adds any of the above is a</w:t>
      </w:r>
      <w:r>
        <w:t xml:space="preserve"> </w:t>
      </w:r>
      <w:r>
        <w:t xml:space="preserve">boundary violation and a release blocker.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flag, build tag, or</w:t>
      </w:r>
      <w:r>
        <w:t xml:space="preserve"> </w:t>
      </w:r>
      <w:r>
        <w:t xml:space="preserve">“research mode”</w:t>
      </w:r>
      <w:r>
        <w:t xml:space="preserve"> </w:t>
      </w:r>
      <w:r>
        <w:t xml:space="preserve">that re-enables it.</w:t>
      </w:r>
    </w:p>
    <w:p>
      <w:r>
        <w:pict>
          <v:rect style="width:0;height:1.5pt" o:hralign="center" o:hrstd="t" o:hr="t"/>
        </w:pict>
      </w:r>
    </w:p>
    <w:bookmarkEnd w:id="10"/>
    <w:bookmarkStart w:id="12" w:name="in-scope-the-project-does-implement"/>
    <w:p>
      <w:pPr>
        <w:pStyle w:val="Heading2"/>
      </w:pPr>
      <w:r>
        <w:t xml:space="preserve">3. IN SCOPE (the project DOES implement)</w:t>
      </w:r>
    </w:p>
    <w:p>
      <w:pPr>
        <w:pStyle w:val="FirstParagraph"/>
      </w:pPr>
      <w:r>
        <w:t xml:space="preserve">Helix Cluster OS provisions nodes the operator</w:t>
      </w:r>
      <w:r>
        <w:t xml:space="preserve"> </w:t>
      </w:r>
      <w:r>
        <w:rPr>
          <w:b/>
          <w:bCs/>
        </w:rPr>
        <w:t xml:space="preserve">already controls</w:t>
      </w:r>
      <w:r>
        <w:t xml:space="preserve">. In scope: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Flashing operator-owned SBCs.</w:t>
      </w:r>
      <w:r>
        <w:t xml:space="preserve"> </w:t>
      </w:r>
      <w:r>
        <w:t xml:space="preserve">Building and writing Helix node images to</w:t>
      </w:r>
      <w:r>
        <w:t xml:space="preserve"> </w:t>
      </w:r>
      <w:r>
        <w:t xml:space="preserve">single-board computers the operator physically owns and is free to reflash</w:t>
      </w:r>
      <w:r>
        <w:t xml:space="preserve"> </w:t>
      </w:r>
      <w:r>
        <w:t xml:space="preserve">(e.g. ARM64 SBCs), using the board’s normal, vendor-sanctioned flashing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Side-loading the agent on operator-controlled devices.</w:t>
      </w:r>
      <w:r>
        <w:t xml:space="preserve"> </w:t>
      </w:r>
      <w:r>
        <w:t xml:space="preserve">Installing the</w:t>
      </w:r>
      <w:r>
        <w:t xml:space="preserve"> </w:t>
      </w:r>
      <w:r>
        <w:t xml:space="preserve">Helix node agent onto devices where the operator already has lawful admin</w:t>
      </w:r>
      <w:r>
        <w:t xml:space="preserve"> </w:t>
      </w:r>
      <w:r>
        <w:t xml:space="preserve">rights and the platform permits app/binary installation (e.g. side-loading</w:t>
      </w:r>
      <w:r>
        <w:t xml:space="preserve"> </w:t>
      </w:r>
      <w:r>
        <w:t xml:space="preserve">the agent build on an Android device the operator administers, installing on</w:t>
      </w:r>
      <w:r>
        <w:t xml:space="preserve"> </w:t>
      </w:r>
      <w:r>
        <w:t xml:space="preserve">a developer-unlocked handheld the operator owns).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Enrolling owned servers and workstations.</w:t>
      </w:r>
      <w:r>
        <w:t xml:space="preserve"> </w:t>
      </w:r>
      <w:r>
        <w:t xml:space="preserve">Onboarding datacenter GPUs,</w:t>
      </w:r>
      <w:r>
        <w:t xml:space="preserve"> </w:t>
      </w:r>
      <w:r>
        <w:t xml:space="preserve">servers, and workstations the operator owns or is lawfully authorized to</w:t>
      </w:r>
      <w:r>
        <w:t xml:space="preserve"> </w:t>
      </w:r>
      <w:r>
        <w:t xml:space="preserve">administer.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Cluster onboarding for already-controlled nodes</w:t>
      </w:r>
      <w:r>
        <w:t xml:space="preserve"> </w:t>
      </w:r>
      <w:r>
        <w:t xml:space="preserve">— mesh enrollment</w:t>
      </w:r>
      <w:r>
        <w:t xml:space="preserve"> </w:t>
      </w:r>
      <w:r>
        <w:t xml:space="preserve">(WireGuard), membership (SWIM gossip), service discovery, GPU/resource</w:t>
      </w:r>
      <w:r>
        <w:t xml:space="preserve"> </w:t>
      </w:r>
      <w:r>
        <w:t xml:space="preserve">attestation, and trust admission. These all operate on a node to which the</w:t>
      </w:r>
      <w:r>
        <w:t xml:space="preserve"> </w:t>
      </w:r>
      <w:r>
        <w:t xml:space="preserve">operator already holds admin access.</w:t>
      </w:r>
    </w:p>
    <w:p>
      <w:pPr>
        <w:pStyle w:val="FirstParagraph"/>
      </w:pPr>
      <w:r>
        <w:t xml:space="preserve">Related roadmap work items: ARM64 cross-compile / toolchain and SBC node</w:t>
      </w:r>
      <w:r>
        <w:t xml:space="preserve"> </w:t>
      </w:r>
      <w:r>
        <w:t xml:space="preserve">agent provisioning, and the Android / edge-mobile agent track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Phase 3 — Edge/mobile agents (ARM64, Android, iOS)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VerbatimChar"/>
          </w:rPr>
          <w:t xml:space="preserve">docs/research/PHASE_2_ROADMAP.md</w:t>
        </w:r>
      </w:hyperlink>
      <w:r>
        <w:t xml:space="preserve">). Each builds</w:t>
      </w:r>
      <w:r>
        <w:t xml:space="preserve"> </w:t>
      </w:r>
      <w:r>
        <w:t xml:space="preserve">and installs an agent for a node the operator already controls; none unlocks a</w:t>
      </w:r>
      <w:r>
        <w:t xml:space="preserve"> </w:t>
      </w:r>
      <w:r>
        <w:t xml:space="preserve">device.</w:t>
      </w:r>
    </w:p>
    <w:p>
      <w:r>
        <w:pict>
          <v:rect style="width:0;height:1.5pt" o:hralign="center" o:hrstd="t" o:hr="t"/>
        </w:pict>
      </w:r>
    </w:p>
    <w:bookmarkEnd w:id="12"/>
    <w:bookmarkStart w:id="13" w:name="lawful-control-precondition"/>
    <w:p>
      <w:pPr>
        <w:pStyle w:val="Heading2"/>
      </w:pPr>
      <w:r>
        <w:t xml:space="preserve">4. Lawful-Control Precondition</w:t>
      </w:r>
    </w:p>
    <w:p>
      <w:pPr>
        <w:pStyle w:val="FirstParagraph"/>
      </w:pPr>
      <w:r>
        <w:t xml:space="preserve">Every in-scope provisioning path assumes — and the operator warrants — that the</w:t>
      </w:r>
      <w:r>
        <w:t xml:space="preserve"> </w:t>
      </w:r>
      <w:r>
        <w:t xml:space="preserve">operator has</w:t>
      </w:r>
      <w:r>
        <w:t xml:space="preserve"> </w:t>
      </w:r>
      <w:r>
        <w:rPr>
          <w:b/>
          <w:bCs/>
        </w:rPr>
        <w:t xml:space="preserve">lawful administrative control</w:t>
      </w:r>
      <w:r>
        <w:t xml:space="preserve"> </w:t>
      </w:r>
      <w:r>
        <w:t xml:space="preserve">of the target node:</w:t>
      </w:r>
    </w:p>
    <w:p>
      <w:pPr>
        <w:pStyle w:val="Compact"/>
        <w:numPr>
          <w:ilvl w:val="0"/>
          <w:numId w:val="1003"/>
        </w:numPr>
      </w:pPr>
      <w:r>
        <w:t xml:space="preserve">The operator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 device, or is</w:t>
      </w:r>
      <w:r>
        <w:t xml:space="preserve"> </w:t>
      </w:r>
      <w:r>
        <w:rPr>
          <w:b/>
          <w:bCs/>
        </w:rPr>
        <w:t xml:space="preserve">explicitly authorized</w:t>
      </w:r>
      <w:r>
        <w:t xml:space="preserve"> </w:t>
      </w:r>
      <w:r>
        <w:t xml:space="preserve">by the</w:t>
      </w:r>
      <w:r>
        <w:t xml:space="preserve"> </w:t>
      </w:r>
      <w:r>
        <w:t xml:space="preserve">owner to administer it; and</w:t>
      </w:r>
    </w:p>
    <w:p>
      <w:pPr>
        <w:pStyle w:val="Compact"/>
        <w:numPr>
          <w:ilvl w:val="0"/>
          <w:numId w:val="1003"/>
        </w:numPr>
      </w:pPr>
      <w:r>
        <w:t xml:space="preserve">Admin/root access was obtained by</w:t>
      </w:r>
      <w:r>
        <w:t xml:space="preserve"> </w:t>
      </w:r>
      <w:r>
        <w:rPr>
          <w:b/>
          <w:bCs/>
        </w:rPr>
        <w:t xml:space="preserve">lawful, vendor-sanctioned means</w:t>
      </w:r>
      <w:r>
        <w:t xml:space="preserve"> </w:t>
      </w:r>
      <w:r>
        <w:t xml:space="preserve">(the</w:t>
      </w:r>
      <w:r>
        <w:t xml:space="preserve"> </w:t>
      </w:r>
      <w:r>
        <w:t xml:space="preserve">operator flashed it, the device shipped operator-administered, the operator</w:t>
      </w:r>
      <w:r>
        <w:t xml:space="preserve"> </w:t>
      </w:r>
      <w:r>
        <w:t xml:space="preserve">was granted credentials, the device is developer-unlocked by its own owner),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any technique in §2.</w:t>
      </w:r>
    </w:p>
    <w:p>
      <w:pPr>
        <w:pStyle w:val="FirstParagraph"/>
      </w:pPr>
      <w:r>
        <w:t xml:space="preserve">Helix Cluster OS treats this precondition as already satisfied at the point of</w:t>
      </w:r>
      <w:r>
        <w:t xml:space="preserve"> </w:t>
      </w:r>
      <w:r>
        <w:t xml:space="preserve">provisioning. It neither provides nor automates the means to satisfy it by</w:t>
      </w:r>
      <w:r>
        <w:t xml:space="preserve"> </w:t>
      </w:r>
      <w:r>
        <w:t xml:space="preserve">bypassing a device’s protections.</w:t>
      </w:r>
    </w:p>
    <w:p>
      <w:r>
        <w:pict>
          <v:rect style="width:0;height:1.5pt" o:hralign="center" o:hrstd="t" o:hr="t"/>
        </w:pict>
      </w:r>
    </w:p>
    <w:bookmarkEnd w:id="13"/>
    <w:bookmarkStart w:id="14" w:name="rationale-security-trust-model"/>
    <w:p>
      <w:pPr>
        <w:pStyle w:val="Heading2"/>
      </w:pPr>
      <w:r>
        <w:t xml:space="preserve">5. Rationale — Security &amp; Trust Model</w:t>
      </w:r>
    </w:p>
    <w:p>
      <w:pPr>
        <w:pStyle w:val="FirstParagraph"/>
      </w:pPr>
      <w:r>
        <w:t xml:space="preserve">Helix’s security model is</w:t>
      </w:r>
      <w:r>
        <w:t xml:space="preserve"> </w:t>
      </w:r>
      <w:r>
        <w:rPr>
          <w:b/>
          <w:bCs/>
        </w:rPr>
        <w:t xml:space="preserve">trust-by-attestation among operator-controlled</w:t>
      </w:r>
      <w:r>
        <w:rPr>
          <w:b/>
          <w:bCs/>
        </w:rPr>
        <w:t xml:space="preserve"> </w:t>
      </w:r>
      <w:r>
        <w:rPr>
          <w:b/>
          <w:bCs/>
        </w:rPr>
        <w:t xml:space="preserve">nodes</w:t>
      </w:r>
      <w:r>
        <w:t xml:space="preserve">, not trust-by-conquest of locked devices: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Admission requires attestation, not exploitation.</w:t>
      </w:r>
      <w:r>
        <w:t xml:space="preserve"> </w:t>
      </w:r>
      <w:r>
        <w:t xml:space="preserve">A node joins via</w:t>
      </w:r>
      <w:r>
        <w:t xml:space="preserve"> </w:t>
      </w:r>
      <w:r>
        <w:t xml:space="preserve">cryptographic identity (SPIFFE federation), mesh keys (WireGuard), and</w:t>
      </w:r>
      <w:r>
        <w:t xml:space="preserve"> </w:t>
      </w:r>
      <w:r>
        <w:t xml:space="preserve">hardware/GPU attestation challenge/response. These prove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node is to</w:t>
      </w:r>
      <w:r>
        <w:t xml:space="preserve"> </w:t>
      </w:r>
      <w:r>
        <w:t xml:space="preserve">the cluster; they presuppose the operator already administers it. They are</w:t>
      </w:r>
      <w:r>
        <w:t xml:space="preserve"> </w:t>
      </w:r>
      <w:r>
        <w:t xml:space="preserve">not, and must never become, a means of seizing a device.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bypass surface is a non-goal and a liability.</w:t>
      </w:r>
      <w:r>
        <w:t xml:space="preserve"> </w:t>
      </w:r>
      <w:r>
        <w:t xml:space="preserve">Shipping unlock/exploit</w:t>
      </w:r>
      <w:r>
        <w:t xml:space="preserve"> </w:t>
      </w:r>
      <w:r>
        <w:t xml:space="preserve">tooling would expand the attack surface, undermine the attestation chain, and</w:t>
      </w:r>
      <w:r>
        <w:t xml:space="preserve"> </w:t>
      </w:r>
      <w:r>
        <w:t xml:space="preserve">create legal and supply-chain exposure entirely orthogonal to the project’s</w:t>
      </w:r>
      <w:r>
        <w:t xml:space="preserve"> </w:t>
      </w:r>
      <w:r>
        <w:t xml:space="preserve">purpose (orchestrating compute across nodes operators already run).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Clarity for contributors and reviewers.</w:t>
      </w:r>
      <w:r>
        <w:t xml:space="preserve"> </w:t>
      </w:r>
      <w:r>
        <w:t xml:space="preserve">Code review (CLAUDE-1) and the</w:t>
      </w:r>
      <w:r>
        <w:t xml:space="preserve"> </w:t>
      </w:r>
      <w:r>
        <w:t xml:space="preserve">governance rules treat any device-security-bypass contribution as a</w:t>
      </w:r>
      <w:r>
        <w:t xml:space="preserve"> </w:t>
      </w:r>
      <w:r>
        <w:t xml:space="preserve">first-class defect. This document is the authoritative reference reviewers</w:t>
      </w:r>
      <w:r>
        <w:t xml:space="preserve"> </w:t>
      </w:r>
      <w:r>
        <w:t xml:space="preserve">cite when rejecting such work.</w:t>
      </w:r>
    </w:p>
    <w:p>
      <w:pPr>
        <w:pStyle w:val="FirstParagraph"/>
      </w:pPr>
      <w:r>
        <w:t xml:space="preserve">In short:</w:t>
      </w:r>
      <w:r>
        <w:t xml:space="preserve"> </w:t>
      </w:r>
      <w:r>
        <w:rPr>
          <w:b/>
          <w:bCs/>
        </w:rPr>
        <w:t xml:space="preserve">we provision the nodes you control; we do not unlock the ones you</w:t>
      </w:r>
      <w:r>
        <w:rPr>
          <w:b/>
          <w:bCs/>
        </w:rPr>
        <w:t xml:space="preserve"> </w:t>
      </w:r>
      <w:r>
        <w:rPr>
          <w:b/>
          <w:bCs/>
        </w:rPr>
        <w:t xml:space="preserve">don’t.</w:t>
      </w:r>
    </w:p>
    <w:p>
      <w:r>
        <w:pict>
          <v:rect style="width:0;height:1.5pt" o:hralign="center" o:hrstd="t" o:hr="t"/>
        </w:pict>
      </w:r>
    </w:p>
    <w:bookmarkEnd w:id="14"/>
    <w:bookmarkStart w:id="18" w:name="cross-references"/>
    <w:p>
      <w:pPr>
        <w:pStyle w:val="Heading2"/>
      </w:pPr>
      <w:r>
        <w:t xml:space="preserve">6. Cross-References</w:t>
      </w:r>
    </w:p>
    <w:p>
      <w:pPr>
        <w:pStyle w:val="Compact"/>
        <w:numPr>
          <w:ilvl w:val="0"/>
          <w:numId w:val="1005"/>
        </w:numPr>
      </w:pPr>
      <w:hyperlink r:id="rId15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— project overview and Documentation index.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— AI-agent engineering &amp; governance rules</w:t>
      </w:r>
      <w:r>
        <w:t xml:space="preserve"> </w:t>
      </w:r>
      <w:r>
        <w:t xml:space="preserve">(CLAUDE-1 usability, CLAUDE-2 cross-platform parity, CLAUDE-3 docs-sync).</w:t>
      </w:r>
    </w:p>
    <w:p>
      <w:pPr>
        <w:pStyle w:val="Compact"/>
        <w:numPr>
          <w:ilvl w:val="0"/>
          <w:numId w:val="1005"/>
        </w:numPr>
      </w:pPr>
      <w:hyperlink r:id="rId17">
        <w:r>
          <w:rPr>
            <w:rStyle w:val="VerbatimChar"/>
          </w:rPr>
          <w:t xml:space="preserve">docs/ARCHITECTURE.md</w:t>
        </w:r>
      </w:hyperlink>
      <w:r>
        <w:t xml:space="preserve"> </w:t>
      </w:r>
      <w:r>
        <w:t xml:space="preserve">— L0–L7 architecture; mesh,</w:t>
      </w:r>
      <w:r>
        <w:t xml:space="preserve"> </w:t>
      </w:r>
      <w:r>
        <w:t xml:space="preserve">membership, discovery, and attestation components referenced above.</w:t>
      </w:r>
    </w:p>
    <w:p>
      <w:pPr>
        <w:pStyle w:val="Compact"/>
        <w:numPr>
          <w:ilvl w:val="0"/>
          <w:numId w:val="1005"/>
        </w:numPr>
      </w:pPr>
      <w:hyperlink r:id="rId11">
        <w:r>
          <w:rPr>
            <w:rStyle w:val="VerbatimChar"/>
          </w:rPr>
          <w:t xml:space="preserve">docs/research/PHASE_2_ROADMAP.md</w:t>
        </w:r>
      </w:hyperlink>
      <w:r>
        <w:t xml:space="preserve"> </w:t>
      </w:r>
      <w:r>
        <w:t xml:space="preserve">— console /</w:t>
      </w:r>
      <w:r>
        <w:t xml:space="preserve"> </w:t>
      </w:r>
      <w:r>
        <w:t xml:space="preserve">edge node integration context and the edge/mobile agent track.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CLAUDE.md" TargetMode="External" /><Relationship Type="http://schemas.openxmlformats.org/officeDocument/2006/relationships/hyperlink" Id="rId15" Target="../README.md" TargetMode="External" /><Relationship Type="http://schemas.openxmlformats.org/officeDocument/2006/relationships/hyperlink" Id="rId17" Target="ARCHITECTURE.md" TargetMode="External" /><Relationship Type="http://schemas.openxmlformats.org/officeDocument/2006/relationships/hyperlink" Id="rId11" Target="research/PHASE_2_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CLAUDE.md" TargetMode="External" /><Relationship Type="http://schemas.openxmlformats.org/officeDocument/2006/relationships/hyperlink" Id="rId15" Target="../README.md" TargetMode="External" /><Relationship Type="http://schemas.openxmlformats.org/officeDocument/2006/relationships/hyperlink" Id="rId17" Target="ARCHITECTURE.md" TargetMode="External" /><Relationship Type="http://schemas.openxmlformats.org/officeDocument/2006/relationships/hyperlink" Id="rId11" Target="research/PHASE_2_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NODE_PROVISIONING_BOUNDARY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