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ADVISORIES</w:t>
      </w:r>
    </w:p>
    <w:bookmarkStart w:id="16" w:name="Xd6859f2bad7317b3f06517fd02910b5354ae533"/>
    <w:p>
      <w:pPr>
        <w:pStyle w:val="Heading1"/>
      </w:pPr>
      <w:r>
        <w:t xml:space="preserve">Security Advisories — Risk-Accepted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Operator-visible record of accepted, unremediated security findings for HelixCluster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security-scan</w:t>
            </w:r>
            <w:r>
              <w:t xml:space="preserve"> </w:t>
            </w:r>
            <w:r>
              <w:t xml:space="preserve">(govulncheck + gosec + trivy), see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SECURITY_SCANNING.md</w:t>
              </w:r>
            </w:hyperlink>
          </w:p>
        </w:tc>
      </w:tr>
    </w:tbl>
    <w:p>
      <w:pPr>
        <w:pStyle w:val="BodyText"/>
      </w:pPr>
      <w:r>
        <w:t xml:space="preserve">This document records security findings that have been</w:t>
      </w:r>
      <w:r>
        <w:t xml:space="preserve"> </w:t>
      </w:r>
      <w:r>
        <w:rPr>
          <w:b/>
          <w:bCs/>
        </w:rPr>
        <w:t xml:space="preserve">reviewed and risk-accepted</w:t>
      </w:r>
      <w:r>
        <w:t xml:space="preserve"> </w:t>
      </w:r>
      <w:r>
        <w:t xml:space="preserve">because no upstream fix is available, alongside the mitigation/monitoring posture for</w:t>
      </w:r>
      <w:r>
        <w:t xml:space="preserve"> </w:t>
      </w:r>
      <w:r>
        <w:t xml:space="preserve">each. It is the honest sink-side counterpart to the scan-only</w:t>
      </w:r>
      <w:r>
        <w:t xml:space="preserve"> </w:t>
      </w:r>
      <w:r>
        <w:rPr>
          <w:rStyle w:val="VerbatimChar"/>
        </w:rPr>
        <w:t xml:space="preserve">make security-scan</w:t>
      </w:r>
      <w:r>
        <w:t xml:space="preserve"> </w:t>
      </w:r>
      <w:r>
        <w:t xml:space="preserve">target: scanning captures findings, this document records the disposition.</w:t>
      </w:r>
    </w:p>
    <w:p>
      <w:pPr>
        <w:pStyle w:val="BodyText"/>
      </w:pPr>
      <w:r>
        <w:t xml:space="preserve">A finding listed here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“ignored”</w:t>
      </w:r>
      <w:r>
        <w:t xml:space="preserve"> </w:t>
      </w:r>
      <w:r>
        <w:t xml:space="preserve">— it is tracked, justified, and re-checked</w:t>
      </w:r>
      <w:r>
        <w:t xml:space="preserve"> </w:t>
      </w:r>
      <w:r>
        <w:t xml:space="preserve">each time the security scan is re-run, so it can be remediated the moment an upstream</w:t>
      </w:r>
      <w:r>
        <w:t xml:space="preserve"> </w:t>
      </w:r>
      <w:r>
        <w:t xml:space="preserve">fix lands.</w:t>
      </w:r>
    </w:p>
    <w:p>
      <w:r>
        <w:pict>
          <v:rect style="width:0;height:1.5pt" o:hralign="center" o:hrstd="t" o:hr="t"/>
        </w:pict>
      </w:r>
    </w:p>
    <w:bookmarkStart w:id="13" w:name="X7a82277b3f716d60107673eab525d43fca48d83"/>
    <w:p>
      <w:pPr>
        <w:pStyle w:val="Heading2"/>
      </w:pPr>
      <w:r>
        <w:t xml:space="preserve">GO-2024-3218 — libp2p Kademlia DHT censorship (no upstream fix)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Advisory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GO-2024-3218</w:t>
            </w:r>
            <w:r>
              <w:t xml:space="preserve"> </w:t>
            </w:r>
            <w:r>
              <w:t xml:space="preserve">(Go vulnerability database)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github.com/libp2p/go-libp2p-kad-dht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v0.40.0</w:t>
            </w:r>
            <w:r>
              <w:t xml:space="preserve"> </w:t>
            </w:r>
            <w:r>
              <w:t xml:space="preserve">(currently pinned)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Availability / censorship (DHT record/peer-routing manipulation)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Moderate — availability impact only;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RCE,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authn/authz bypass,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data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govulncheck</w:t>
            </w:r>
            <w:r>
              <w:t xml:space="preserve"> </w:t>
            </w:r>
            <w:r>
              <w:t xml:space="preserve">(reachability-aware)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available</w:t>
            </w:r>
            <w:r>
              <w:t xml:space="preserve"> </w:t>
            </w:r>
            <w:r>
              <w:t xml:space="preserve">— no fixed version published at time of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Risk-accepted with mitigations</w:t>
            </w:r>
            <w:r>
              <w:t xml:space="preserve"> </w:t>
            </w:r>
            <w:r>
              <w:t xml:space="preserve">(see below)</w:t>
            </w:r>
          </w:p>
        </w:tc>
      </w:tr>
    </w:tbl>
    <w:bookmarkStart w:id="10" w:name="affected-modules-and-call-paths"/>
    <w:p>
      <w:pPr>
        <w:pStyle w:val="Heading3"/>
      </w:pPr>
      <w:r>
        <w:t xml:space="preserve">Affected modules and call paths</w:t>
      </w:r>
    </w:p>
    <w:p>
      <w:pPr>
        <w:pStyle w:val="FirstParagraph"/>
      </w:pPr>
      <w:r>
        <w:t xml:space="preserve">The vulnerable package is reachable (not merely present) from two modules, both of</w:t>
      </w:r>
      <w:r>
        <w:t xml:space="preserve"> </w:t>
      </w:r>
      <w:r>
        <w:t xml:space="preserve">which build a libp2p host with a Kademlia DHT for peer discovery: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Reachable call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discovery/p2p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discovery/p2p/go.mod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discovery/p2p/node.go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dht.New(ctx, h, dht.Mode(...))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node.go:125</w:t>
            </w:r>
            <w:r>
              <w:t xml:space="preserve">); DHT default mode</w:t>
            </w:r>
            <w:r>
              <w:t xml:space="preserve"> </w:t>
            </w:r>
            <w:r>
              <w:rPr>
                <w:rStyle w:val="VerbatimChar"/>
              </w:rPr>
              <w:t xml:space="preserve">ModeServer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clusternode/go.mod</w:t>
            </w:r>
            <w:r>
              <w:t xml:space="preserve"> </w:t>
            </w:r>
            <w:r>
              <w:t xml:space="preserve">(transitive,</w:t>
            </w:r>
            <w:r>
              <w:t xml:space="preserve"> </w:t>
            </w:r>
            <w:r>
              <w:rPr>
                <w:rStyle w:val="VerbatimChar"/>
              </w:rPr>
              <w:t xml:space="preserve">// indirect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cluster node agent libp2p host wiring (</w:t>
            </w:r>
            <w:r>
              <w:rPr>
                <w:rStyle w:val="VerbatimChar"/>
              </w:rPr>
              <w:t xml:space="preserve">clusternode/cluster.go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clusternode/nodeagent.go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govulncheck</w:t>
      </w:r>
      <w:r>
        <w:t xml:space="preserve"> </w:t>
      </w:r>
      <w:r>
        <w:t xml:space="preserve">flags the symbols as</w:t>
      </w:r>
      <w:r>
        <w:t xml:space="preserve"> </w:t>
      </w:r>
      <w:r>
        <w:rPr>
          <w:b/>
          <w:bCs/>
        </w:rPr>
        <w:t xml:space="preserve">actually reachable</w:t>
      </w:r>
      <w:r>
        <w:t xml:space="preserve"> </w:t>
      </w:r>
      <w:r>
        <w:t xml:space="preserve">from these entry points,</w:t>
      </w:r>
      <w:r>
        <w:t xml:space="preserve"> </w:t>
      </w:r>
      <w:r>
        <w:t xml:space="preserve">so this is a genuine reachable finding rather than a present-but-dead dependency.</w:t>
      </w:r>
    </w:p>
    <w:bookmarkEnd w:id="10"/>
    <w:bookmarkStart w:id="11" w:name="Xcfc079d63cbcb66c1003164e441b1a324c6331f"/>
    <w:p>
      <w:pPr>
        <w:pStyle w:val="Heading3"/>
      </w:pPr>
      <w:r>
        <w:t xml:space="preserve">Why this severity (and why it is acceptable)</w:t>
      </w:r>
    </w:p>
    <w:p>
      <w:pPr>
        <w:pStyle w:val="FirstParagraph"/>
      </w:pPr>
      <w:r>
        <w:rPr>
          <w:rStyle w:val="VerbatimChar"/>
        </w:rPr>
        <w:t xml:space="preserve">GO-2024-3218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DHT-censorship / availability</w:t>
      </w:r>
      <w:r>
        <w:t xml:space="preserve"> </w:t>
      </w:r>
      <w:r>
        <w:t xml:space="preserve">class issue: a malicious peer</w:t>
      </w:r>
      <w:r>
        <w:t xml:space="preserve"> </w:t>
      </w:r>
      <w:r>
        <w:t xml:space="preserve">participating in the same Kademlia DHT can influence peer-routing / record lookups,</w:t>
      </w:r>
      <w:r>
        <w:t xml:space="preserve"> </w:t>
      </w:r>
      <w:r>
        <w:t xml:space="preserve">degrading or censoring discovery results.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grant code execution,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bypass authentication or authorization,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disclose data.</w:t>
      </w:r>
      <w:r>
        <w:t xml:space="preserve"> </w:t>
      </w:r>
      <w:r>
        <w:t xml:space="preserve">HelixCluster’s trust and authorization decisions do not rely on DHT lookups being</w:t>
      </w:r>
      <w:r>
        <w:t xml:space="preserve"> </w:t>
      </w:r>
      <w:r>
        <w:t xml:space="preserve">tamper-proof — the DHT is a discovery convenience, and authenticated mTLS / Raft /</w:t>
      </w:r>
      <w:r>
        <w:t xml:space="preserve"> </w:t>
      </w:r>
      <w:r>
        <w:t xml:space="preserve">etcd remain the source of truth for cluster state and membership. The blast radius</w:t>
      </w:r>
      <w:r>
        <w:t xml:space="preserve"> </w:t>
      </w:r>
      <w:r>
        <w:t xml:space="preserve">is therefore limited to discovery availability/latency, not integrity or</w:t>
      </w:r>
      <w:r>
        <w:t xml:space="preserve"> </w:t>
      </w:r>
      <w:r>
        <w:t xml:space="preserve">confidentiality of the control plane.</w:t>
      </w:r>
    </w:p>
    <w:bookmarkEnd w:id="11"/>
    <w:bookmarkStart w:id="12" w:name="mitigation-and-monitoring-guidance"/>
    <w:p>
      <w:pPr>
        <w:pStyle w:val="Heading3"/>
      </w:pPr>
      <w:r>
        <w:t xml:space="preserve">Mitigation and monitoring guidance</w:t>
      </w:r>
    </w:p>
    <w:p>
      <w:pPr>
        <w:pStyle w:val="FirstParagraph"/>
      </w:pPr>
      <w:r>
        <w:t xml:space="preserve">Because no upstream fix exists, the finding is accepted with the following standing</w:t>
      </w:r>
      <w:r>
        <w:t xml:space="preserve"> </w:t>
      </w:r>
      <w:r>
        <w:t xml:space="preserve">mitigations: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 for an upstream patch.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make security-scan</w:t>
      </w:r>
      <w:r>
        <w:t xml:space="preserve"> </w:t>
      </w:r>
      <w:r>
        <w:t xml:space="preserve">on the regular</w:t>
      </w:r>
      <w:r>
        <w:t xml:space="preserve"> </w:t>
      </w:r>
      <w:r>
        <w:t xml:space="preserve">cadence; the moment</w:t>
      </w:r>
      <w:r>
        <w:t xml:space="preserve"> </w:t>
      </w:r>
      <w:r>
        <w:rPr>
          <w:rStyle w:val="VerbatimChar"/>
        </w:rPr>
        <w:t xml:space="preserve">go-libp2p-kad-dht</w:t>
      </w:r>
      <w:r>
        <w:t xml:space="preserve"> </w:t>
      </w:r>
      <w:r>
        <w:t xml:space="preserve">publishes a fixed release, bump the pin in</w:t>
      </w:r>
      <w:r>
        <w:t xml:space="preserve"> </w:t>
      </w:r>
      <w:r>
        <w:rPr>
          <w:rStyle w:val="VerbatimChar"/>
        </w:rPr>
        <w:t xml:space="preserve">discovery/p2p/go.mod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clusternode/go.mod</w:t>
      </w:r>
      <w:r>
        <w:t xml:space="preserve"> </w:t>
      </w:r>
      <w:r>
        <w:t xml:space="preserve">and remove this acceptance.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DHT peer hygiene at the network layer.</w:t>
      </w:r>
      <w:r>
        <w:t xml:space="preserve"> </w:t>
      </w:r>
      <w:r>
        <w:t xml:space="preserve">Restrict DHT participation to trusted</w:t>
      </w:r>
      <w:r>
        <w:t xml:space="preserve"> </w:t>
      </w:r>
      <w:r>
        <w:t xml:space="preserve">network segments where practical; do not expose the discovery DHT to the open</w:t>
      </w:r>
      <w:r>
        <w:t xml:space="preserve"> </w:t>
      </w:r>
      <w:r>
        <w:t xml:space="preserve">public internet for production fleets. Prefer the config-driven persistent-worker</w:t>
      </w:r>
      <w:r>
        <w:t xml:space="preserve"> </w:t>
      </w:r>
      <w:r>
        <w:t xml:space="preserve">deploy path (operator-controlled inventory) over open public DHT bootstrap for</w:t>
      </w:r>
      <w:r>
        <w:t xml:space="preserve"> </w:t>
      </w:r>
      <w:r>
        <w:t xml:space="preserve">production membership.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treat DHT results as authoritative.</w:t>
      </w:r>
      <w:r>
        <w:t xml:space="preserve"> </w:t>
      </w:r>
      <w:r>
        <w:t xml:space="preserve">Cluster membership and trust</w:t>
      </w:r>
      <w:r>
        <w:t xml:space="preserve"> </w:t>
      </w:r>
      <w:r>
        <w:t xml:space="preserve">continue to be anchored in authenticated channels (mTLS, etcd, Raft), so a</w:t>
      </w:r>
      <w:r>
        <w:t xml:space="preserve"> </w:t>
      </w:r>
      <w:r>
        <w:t xml:space="preserve">censored/poisoned DHT result cannot escalate beyond degraded discovery.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Defense in depth.</w:t>
      </w:r>
      <w:r>
        <w:t xml:space="preserve"> </w:t>
      </w:r>
      <w:r>
        <w:t xml:space="preserve">Keep gossip/SWIM and etcd-backed registration as the</w:t>
      </w:r>
      <w:r>
        <w:t xml:space="preserve"> </w:t>
      </w:r>
      <w:r>
        <w:t xml:space="preserve">resilient fallback for node discovery if DHT routing is degraded.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055ffdd3458e58ed1cbb015bbb5481c96e3f73f"/>
    <w:p>
      <w:pPr>
        <w:pStyle w:val="Heading2"/>
      </w:pPr>
      <w:r>
        <w:t xml:space="preserve">trivy</w:t>
      </w:r>
      <w:r>
        <w:t xml:space="preserve"> </w:t>
      </w:r>
      <w:r>
        <w:t xml:space="preserve">“secrets”</w:t>
      </w:r>
      <w:r>
        <w:t xml:space="preserve"> </w:t>
      </w:r>
      <w:r>
        <w:t xml:space="preserve">— confirmed test-sentinel false positives (allowlisted)</w:t>
      </w:r>
    </w:p>
    <w:p>
      <w:pPr>
        <w:pStyle w:val="FirstParagraph"/>
      </w:pPr>
      <w:r>
        <w:rPr>
          <w:rStyle w:val="VerbatimChar"/>
        </w:rPr>
        <w:t xml:space="preserve">trivy</w:t>
      </w:r>
      <w:r>
        <w:t xml:space="preserve"> </w:t>
      </w:r>
      <w:r>
        <w:t xml:space="preserve">reports 4</w:t>
      </w:r>
      <w:r>
        <w:t xml:space="preserve"> </w:t>
      </w:r>
      <w:r>
        <w:t xml:space="preserve">“secret”</w:t>
      </w:r>
      <w:r>
        <w:t xml:space="preserve"> </w:t>
      </w:r>
      <w:r>
        <w:t xml:space="preserve">hits. All 4 are</w:t>
      </w:r>
      <w:r>
        <w:t xml:space="preserve"> </w:t>
      </w:r>
      <w:r>
        <w:rPr>
          <w:b/>
          <w:bCs/>
        </w:rPr>
        <w:t xml:space="preserve">confirmed false positives</w:t>
      </w:r>
      <w:r>
        <w:t xml:space="preserve">: they are</w:t>
      </w:r>
      <w:r>
        <w:t xml:space="preserve"> </w:t>
      </w:r>
      <w:r>
        <w:t xml:space="preserve">placeholder / sentinel tokens used inside tests and QA transcripts (e.g.</w:t>
      </w:r>
      <w:r>
        <w:t xml:space="preserve"> </w:t>
      </w:r>
      <w:r>
        <w:rPr>
          <w:rStyle w:val="VerbatimChar"/>
        </w:rPr>
        <w:t xml:space="preserve">*-must-not-leak-*</w:t>
      </w:r>
      <w:r>
        <w:t xml:space="preserve"> </w:t>
      </w:r>
      <w:r>
        <w:t xml:space="preserve">style strings that</w:t>
      </w:r>
      <w:r>
        <w:t xml:space="preserve"> </w:t>
      </w:r>
      <w:r>
        <w:rPr>
          <w:i/>
          <w:iCs/>
        </w:rPr>
        <w:t xml:space="preserve">assert</w:t>
      </w:r>
      <w:r>
        <w:t xml:space="preserve"> </w:t>
      </w:r>
      <w:r>
        <w:t xml:space="preserve">secrets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leak). They are</w:t>
      </w:r>
      <w:r>
        <w:t xml:space="preserve"> </w:t>
      </w:r>
      <w:r>
        <w:t xml:space="preserve">not real credentials, carry no access, and are intentionally present to drive</w:t>
      </w:r>
      <w:r>
        <w:t xml:space="preserve"> </w:t>
      </w:r>
      <w:r>
        <w:t xml:space="preserve">negative tests. They are allowlisted and require no remediation. See the triage note</w:t>
      </w:r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SECURITY_SCANNING.md</w:t>
        </w:r>
      </w:hyperlink>
      <w:r>
        <w:t xml:space="preserve"> </w:t>
      </w:r>
      <w:r>
        <w:t xml:space="preserve">(</w:t>
      </w:r>
      <w:r>
        <w:t xml:space="preserve">“trivy secrets: verify each</w:t>
      </w:r>
      <w:r>
        <w:t xml:space="preserve"> </w:t>
      </w:r>
      <w:r>
        <w:t xml:space="preserve">hit — placeholder/sentinel tokens used in tests and QA transcripts … are false</w:t>
      </w:r>
      <w:r>
        <w:t xml:space="preserve"> </w:t>
      </w:r>
      <w:r>
        <w:t xml:space="preserve">positives”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re-validation"/>
    <w:p>
      <w:pPr>
        <w:pStyle w:val="Heading2"/>
      </w:pPr>
      <w:r>
        <w:t xml:space="preserve">Re-validation</w:t>
      </w:r>
    </w:p>
    <w:p>
      <w:pPr>
        <w:pStyle w:val="FirstParagraph"/>
      </w:pPr>
      <w:r>
        <w:t xml:space="preserve">These dispositions are re-checked on every</w:t>
      </w:r>
      <w:r>
        <w:t xml:space="preserve"> </w:t>
      </w:r>
      <w:r>
        <w:rPr>
          <w:rStyle w:val="VerbatimChar"/>
        </w:rPr>
        <w:t xml:space="preserve">make security-scan</w:t>
      </w:r>
      <w:r>
        <w:t xml:space="preserve"> </w:t>
      </w:r>
      <w:r>
        <w:t xml:space="preserve">run. Captured scan</w:t>
      </w:r>
      <w:r>
        <w:t xml:space="preserve"> </w:t>
      </w:r>
      <w:r>
        <w:t xml:space="preserve">evidence lands under</w:t>
      </w:r>
      <w:r>
        <w:t xml:space="preserve"> </w:t>
      </w:r>
      <w:r>
        <w:rPr>
          <w:rStyle w:val="VerbatimChar"/>
        </w:rPr>
        <w:t xml:space="preserve">qa-results/security/&lt;run-id&gt;/</w:t>
      </w:r>
      <w:r>
        <w:t xml:space="preserve">. Any change in upstream fix</w:t>
      </w:r>
      <w:r>
        <w:t xml:space="preserve"> </w:t>
      </w:r>
      <w:r>
        <w:t xml:space="preserve">availability for</w:t>
      </w:r>
      <w:r>
        <w:t xml:space="preserve"> </w:t>
      </w:r>
      <w:r>
        <w:rPr>
          <w:rStyle w:val="VerbatimChar"/>
        </w:rPr>
        <w:t xml:space="preserve">GO-2024-3218</w:t>
      </w:r>
      <w:r>
        <w:t xml:space="preserve"> </w:t>
      </w:r>
      <w:r>
        <w:t xml:space="preserve">must trigger remediation (dependency bump) and</w:t>
      </w:r>
      <w:r>
        <w:t xml:space="preserve"> </w:t>
      </w:r>
      <w:r>
        <w:t xml:space="preserve">removal of the corresponding acceptance entry above, per the project’s</w:t>
      </w:r>
      <w:r>
        <w:t xml:space="preserve"> </w:t>
      </w:r>
      <w:r>
        <w:t xml:space="preserve">no-stale-docs guarantee.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ECURITY_SCANN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ECURITY_SCAN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ADVISORIES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