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operations</w:t>
      </w:r>
    </w:p>
    <w:bookmarkStart w:id="28" w:name="operations-guide"/>
    <w:p>
      <w:pPr>
        <w:pStyle w:val="Heading1"/>
      </w:pPr>
      <w:r>
        <w:t xml:space="preserve">Operations Guide</w:t>
      </w:r>
    </w:p>
    <w:p>
      <w:pPr>
        <w:pStyle w:val="FirstParagraph"/>
      </w:pPr>
      <w:r>
        <w:t xml:space="preserve">This guide covers deployment options, monitoring, troubleshooting, and scaling for Helix Cluster OS in production.</w:t>
      </w:r>
    </w:p>
    <w:p>
      <w:r>
        <w:pict>
          <v:rect style="width:0;height:1.5pt" o:hralign="center" o:hrstd="t" o:hr="t"/>
        </w:pict>
      </w:r>
    </w:p>
    <w:bookmarkStart w:id="13" w:name="deployment-options"/>
    <w:p>
      <w:pPr>
        <w:pStyle w:val="Heading2"/>
      </w:pPr>
      <w:r>
        <w:t xml:space="preserve">Deployment Options</w:t>
      </w:r>
    </w:p>
    <w:bookmarkStart w:id="9" w:name="binary-deployment"/>
    <w:p>
      <w:pPr>
        <w:pStyle w:val="Heading3"/>
      </w:pPr>
      <w:r>
        <w:t xml:space="preserve">1. Binary Deployment</w:t>
      </w:r>
    </w:p>
    <w:p>
      <w:pPr>
        <w:pStyle w:val="FirstParagraph"/>
      </w:pPr>
      <w:r>
        <w:t xml:space="preserve">Build and run services directly on hosts: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./bin/helixd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helixd.yaml</w:t>
      </w:r>
      <w:r>
        <w:br/>
      </w:r>
      <w:r>
        <w:rPr>
          <w:rStyle w:val="ExtensionTok"/>
        </w:rPr>
        <w:t xml:space="preserve">./bin/helix-gateway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gateway.yaml</w:t>
      </w:r>
      <w:r>
        <w:br/>
      </w:r>
      <w:r>
        <w:rPr>
          <w:rStyle w:val="CommentTok"/>
        </w:rPr>
        <w:t xml:space="preserve"># ... start remaining services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Development, bare-metal environments, or when you manage your own orchestration.</w:t>
      </w:r>
    </w:p>
    <w:p>
      <w:r>
        <w:pict>
          <v:rect style="width:0;height:1.5pt" o:hralign="center" o:hrstd="t" o:hr="t"/>
        </w:pict>
      </w:r>
    </w:p>
    <w:bookmarkEnd w:id="9"/>
    <w:bookmarkStart w:id="10" w:name="docker-deployment"/>
    <w:p>
      <w:pPr>
        <w:pStyle w:val="Heading3"/>
      </w:pPr>
      <w:r>
        <w:t xml:space="preserve">2. Docker Deployment</w:t>
      </w:r>
    </w:p>
    <w:p>
      <w:pPr>
        <w:pStyle w:val="FirstParagraph"/>
      </w:pPr>
      <w:r>
        <w:t xml:space="preserve">Build images and run with Docker Compose: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docker-build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deployments/docker-compose.yml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Single-node demos, CI pipelines, or small staging environments.</w:t>
      </w:r>
    </w:p>
    <w:p>
      <w:r>
        <w:pict>
          <v:rect style="width:0;height:1.5pt" o:hralign="center" o:hrstd="t" o:hr="t"/>
        </w:pict>
      </w:r>
    </w:p>
    <w:bookmarkEnd w:id="10"/>
    <w:bookmarkStart w:id="11" w:name="kubernetes-deployment"/>
    <w:p>
      <w:pPr>
        <w:pStyle w:val="Heading3"/>
      </w:pPr>
      <w:r>
        <w:t xml:space="preserve">3. Kubernetes Deployment</w:t>
      </w:r>
    </w:p>
    <w:p>
      <w:pPr>
        <w:pStyle w:val="FirstParagraph"/>
      </w:pPr>
      <w:r>
        <w:t xml:space="preserve">Deploy to Kubernetes using the provided manifests: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deployments/k8s/overlays/production/</w:t>
      </w:r>
    </w:p>
    <w:p>
      <w:pPr>
        <w:pStyle w:val="FirstParagraph"/>
      </w:pPr>
      <w:r>
        <w:t xml:space="preserve">Key resources: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</w:t>
            </w:r>
            <w:r>
              <w:t xml:space="preserve"> </w:t>
            </w: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3-node etcd cluster with persistent volumes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Control plane with 2+ replicas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helix-gateway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Edge gateway with 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Deployments</w:t>
            </w:r>
          </w:p>
        </w:tc>
        <w:tc>
          <w:tcPr/>
          <w:p>
            <w:pPr>
              <w:pStyle w:val="Compact"/>
            </w:pPr>
            <w:r>
              <w:t xml:space="preserve">14 service Deployments, each with 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TLS-terminated external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Production, multi-node clusters, automatic failover, and scaling.</w:t>
      </w:r>
    </w:p>
    <w:p>
      <w:r>
        <w:pict>
          <v:rect style="width:0;height:1.5pt" o:hralign="center" o:hrstd="t" o:hr="t"/>
        </w:pict>
      </w:r>
    </w:p>
    <w:bookmarkEnd w:id="11"/>
    <w:bookmarkStart w:id="12" w:name="X0318e911e41fef25a9a781e62f69a51de71e7c4"/>
    <w:p>
      <w:pPr>
        <w:pStyle w:val="Heading3"/>
      </w:pPr>
      <w:r>
        <w:t xml:space="preserve">4. Config-Driven Worker Deployment (persistent membership)</w:t>
      </w:r>
    </w:p>
    <w:p>
      <w:pPr>
        <w:pStyle w:val="FirstParagraph"/>
      </w:pPr>
      <w:r>
        <w:t xml:space="preserve">For bringing up a LAN/SSH fleet of persistent worker nodes, use the config-driven</w:t>
      </w:r>
      <w:r>
        <w:t xml:space="preserve"> </w:t>
      </w:r>
      <w:r>
        <w:t xml:space="preserve">deploy path. Everything is derived from a single source of truth,</w:t>
      </w:r>
      <w:r>
        <w:t xml:space="preserve"> </w:t>
      </w:r>
      <w:r>
        <w:rPr>
          <w:rStyle w:val="VerbatimChar"/>
        </w:rPr>
        <w:t xml:space="preserve">deploy/cluster.env</w:t>
      </w:r>
      <w:r>
        <w:t xml:space="preserve"> </w:t>
      </w:r>
      <w:r>
        <w:t xml:space="preserve">— no IPs, ports, hosts or keys are hardcoded in the scripts.</w:t>
      </w:r>
    </w:p>
    <w:p>
      <w:pPr>
        <w:pStyle w:val="SourceCode"/>
      </w:pPr>
      <w:r>
        <w:rPr>
          <w:rStyle w:val="CommentTok"/>
        </w:rPr>
        <w:t xml:space="preserve"># 1. Declare the fleet in deploy/cluster.env (HELIX_NODE_&lt;id&gt; inventory + HELIX_NODES).</w:t>
      </w:r>
      <w:r>
        <w:br/>
      </w:r>
      <w:r>
        <w:rPr>
          <w:rStyle w:val="CommentTok"/>
        </w:rPr>
        <w:t xml:space="preserve"># 2. Build the linux agent into dist/, then deploy every node in the inventory:</w:t>
      </w:r>
      <w:r>
        <w:br/>
      </w:r>
      <w:r>
        <w:rPr>
          <w:rStyle w:val="ExtensionTok"/>
        </w:rPr>
        <w:t xml:space="preserve">./deploy/deploy-workers.sh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all HELIX_NODES</w:t>
      </w:r>
      <w:r>
        <w:br/>
      </w:r>
      <w:r>
        <w:rPr>
          <w:rStyle w:val="ExtensionTok"/>
        </w:rPr>
        <w:t xml:space="preserve">./deploy/deploy-workers.sh</w:t>
      </w:r>
      <w:r>
        <w:rPr>
          <w:rStyle w:val="NormalTok"/>
        </w:rPr>
        <w:t xml:space="preserve"> thinker nezha   </w:t>
      </w:r>
      <w:r>
        <w:rPr>
          <w:rStyle w:val="CommentTok"/>
        </w:rPr>
        <w:t xml:space="preserve"># a subset</w:t>
      </w:r>
      <w:r>
        <w:br/>
      </w:r>
      <w:r>
        <w:rPr>
          <w:rStyle w:val="VariableTok"/>
        </w:rPr>
        <w:t xml:space="preserve">HELIX_HOST_IP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10.0.0.5 </w:t>
      </w:r>
      <w:r>
        <w:rPr>
          <w:rStyle w:val="ExtensionTok"/>
        </w:rPr>
        <w:t xml:space="preserve">./deploy/deploy-workers.sh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pin the control-host IP</w:t>
      </w:r>
    </w:p>
    <w:p>
      <w:pPr>
        <w:pStyle w:val="FirstParagraph"/>
      </w:pPr>
      <w:r>
        <w:rPr>
          <w:rStyle w:val="VerbatimChar"/>
        </w:rPr>
        <w:t xml:space="preserve">deploy-workers.sh</w:t>
      </w:r>
      <w:r>
        <w:t xml:space="preserve"> </w:t>
      </w:r>
      <w:r>
        <w:t xml:space="preserve">ships the agent binary +</w:t>
      </w:r>
      <w:r>
        <w:t xml:space="preserve"> </w:t>
      </w:r>
      <w:r>
        <w:rPr>
          <w:rStyle w:val="VerbatimChar"/>
        </w:rPr>
        <w:t xml:space="preserve">agent-launch.sh</w:t>
      </w:r>
      <w:r>
        <w:t xml:space="preserve"> </w:t>
      </w:r>
      <w:r>
        <w:t xml:space="preserve">launcher to each worker</w:t>
      </w:r>
      <w:r>
        <w:t xml:space="preserve"> </w:t>
      </w:r>
      <w:r>
        <w:t xml:space="preserve">over ssh/scp and starts a</w:t>
      </w:r>
      <w:r>
        <w:t xml:space="preserve"> </w:t>
      </w:r>
      <w:r>
        <w:rPr>
          <w:b/>
          <w:bCs/>
        </w:rPr>
        <w:t xml:space="preserve">persistent</w:t>
      </w:r>
      <w:r>
        <w:t xml:space="preserve"> </w:t>
      </w:r>
      <w:r>
        <w:rPr>
          <w:rStyle w:val="VerbatimChar"/>
        </w:rPr>
        <w:t xml:space="preserve">helix-agent</w:t>
      </w:r>
      <w:r>
        <w:t xml:space="preserve"> </w:t>
      </w:r>
      <w:r>
        <w:t xml:space="preserve">that registers under</w:t>
      </w:r>
      <w:r>
        <w:t xml:space="preserve"> </w:t>
      </w:r>
      <w:r>
        <w:rPr>
          <w:rStyle w:val="VerbatimChar"/>
        </w:rPr>
        <w:t xml:space="preserve">/clusteros/nodes/&lt;id&gt;</w:t>
      </w:r>
      <w:r>
        <w:t xml:space="preserve"> </w:t>
      </w:r>
      <w:r>
        <w:t xml:space="preserve">and keeps its etcd lease alive for its whole lifetime.</w:t>
      </w:r>
    </w:p>
    <w:p>
      <w:pPr>
        <w:pStyle w:val="BlockText"/>
      </w:pPr>
      <w:r>
        <w:rPr>
          <w:b/>
          <w:bCs/>
        </w:rPr>
        <w:t xml:space="preserve">Requirement — user linger.</w:t>
      </w:r>
      <w:r>
        <w:t xml:space="preserve"> </w:t>
      </w:r>
      <w:r>
        <w:t xml:space="preserve">The agent runs as a systemd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service, so the</w:t>
      </w:r>
      <w:r>
        <w:t xml:space="preserve"> </w:t>
      </w:r>
      <w:r>
        <w:t xml:space="preserve">deploy enables linger (</w:t>
      </w:r>
      <w:r>
        <w:rPr>
          <w:rStyle w:val="VerbatimChar"/>
        </w:rPr>
        <w:t xml:space="preserve">loginctl enable-linger "$USER"</w:t>
      </w:r>
      <w:r>
        <w:t xml:space="preserve">) on each worker so the user</w:t>
      </w:r>
      <w:r>
        <w:t xml:space="preserve"> </w:t>
      </w:r>
      <w:r>
        <w:t xml:space="preserve">manager — and the agent — survives logout/reboot. A user may enable its own linger</w:t>
      </w:r>
      <w:r>
        <w:t xml:space="preserve"> </w:t>
      </w:r>
      <w:r>
        <w:t xml:space="preserve">without root.</w:t>
      </w:r>
      <w:r>
        <w:t xml:space="preserve"> </w:t>
      </w:r>
      <w:r>
        <w:rPr>
          <w:rStyle w:val="VerbatimChar"/>
        </w:rPr>
        <w:t xml:space="preserve">deploy-workers.sh</w:t>
      </w:r>
      <w:r>
        <w:t xml:space="preserve"> </w:t>
      </w:r>
      <w:r>
        <w:t xml:space="preserve">does this automatically; if you launch the agent by</w:t>
      </w:r>
      <w:r>
        <w:t xml:space="preserve"> </w:t>
      </w:r>
      <w:r>
        <w:t xml:space="preserve">hand, enable linger first or the agent will not persist across sessions.</w:t>
      </w:r>
    </w:p>
    <w:p>
      <w:pPr>
        <w:pStyle w:val="FirstParagraph"/>
      </w:pPr>
      <w:r>
        <w:t xml:space="preserve">The control host runs the infra stack (etcd, helixd, …) via</w:t>
      </w:r>
      <w:r>
        <w:t xml:space="preserve"> </w:t>
      </w:r>
      <w:r>
        <w:rPr>
          <w:rStyle w:val="VerbatimChar"/>
        </w:rPr>
        <w:t xml:space="preserve">deploy/compose/helix_infra.yml</w:t>
      </w:r>
      <w:r>
        <w:t xml:space="preserve">, which reads</w:t>
      </w:r>
      <w:r>
        <w:t xml:space="preserve"> </w:t>
      </w:r>
      <w:r>
        <w:rPr>
          <w:rStyle w:val="VerbatimChar"/>
        </w:rPr>
        <w:t xml:space="preserve">deploy/cluster.env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--env-file</w:t>
      </w:r>
      <w:r>
        <w:t xml:space="preserve">. The published etcd/kafka host ports below come from that compose file.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Persistent multi-node bare-metal/LAN fleets without Kubernetes.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onitoring-and-alerting"/>
    <w:p>
      <w:pPr>
        <w:pStyle w:val="Heading2"/>
      </w:pPr>
      <w:r>
        <w:t xml:space="preserve">Monitoring and Alerting</w:t>
      </w:r>
    </w:p>
    <w:p>
      <w:pPr>
        <w:pStyle w:val="FirstParagraph"/>
      </w:pPr>
      <w:r>
        <w:t xml:space="preserve">Helix Cluster OS exposes Prometheus metrics on</w:t>
      </w:r>
      <w:r>
        <w:t xml:space="preserve"> </w:t>
      </w:r>
      <w:r>
        <w:rPr>
          <w:rStyle w:val="VerbatimChar"/>
        </w:rPr>
        <w:t xml:space="preserve">:9090/metrics</w:t>
      </w:r>
      <w:r>
        <w:t xml:space="preserve"> </w:t>
      </w:r>
      <w:r>
        <w:t xml:space="preserve">for every service.</w:t>
      </w:r>
    </w:p>
    <w:bookmarkStart w:id="14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helix_request_duration_seconds</w:t>
            </w:r>
          </w:p>
        </w:tc>
        <w:tc>
          <w:tcPr/>
          <w:p>
            <w:pPr>
              <w:pStyle w:val="Compact"/>
            </w:pPr>
            <w:r>
              <w:t xml:space="preserve">API latency</w:t>
            </w:r>
          </w:p>
        </w:tc>
        <w:tc>
          <w:tcPr/>
          <w:p>
            <w:pPr>
              <w:pStyle w:val="Compact"/>
            </w:pPr>
            <w:r>
              <w:t xml:space="preserve">p99 &gt;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helix_request_errors_total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&gt; 1% over 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helix_etcd_watch_latency_seconds</w:t>
            </w:r>
          </w:p>
        </w:tc>
        <w:tc>
          <w:tcPr/>
          <w:p>
            <w:pPr>
              <w:pStyle w:val="Compact"/>
            </w:pPr>
            <w:r>
              <w:t xml:space="preserve">etcd watch lag</w:t>
            </w:r>
          </w:p>
        </w:tc>
        <w:tc>
          <w:tcPr/>
          <w:p>
            <w:pPr>
              <w:pStyle w:val="Compact"/>
            </w:pPr>
            <w:r>
              <w:t xml:space="preserve">&gt; 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helix_node_health</w:t>
            </w:r>
          </w:p>
        </w:tc>
        <w:tc>
          <w:tcPr/>
          <w:p>
            <w:pPr>
              <w:pStyle w:val="Compact"/>
            </w:pPr>
            <w:r>
              <w:t xml:space="preserve">Node health status</w:t>
            </w:r>
          </w:p>
        </w:tc>
        <w:tc>
          <w:tcPr/>
          <w:p>
            <w:pPr>
              <w:pStyle w:val="Compact"/>
            </w:pPr>
            <w:r>
              <w:t xml:space="preserve">== 0 (unhealthy)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helix_build_queue_depth</w:t>
            </w:r>
          </w:p>
        </w:tc>
        <w:tc>
          <w:tcPr/>
          <w:p>
            <w:pPr>
              <w:pStyle w:val="Compact"/>
            </w:pPr>
            <w:r>
              <w:t xml:space="preserve">Pending build jobs</w:t>
            </w:r>
          </w:p>
        </w:tc>
        <w:tc>
          <w:tcPr/>
          <w:p>
            <w:pPr>
              <w:pStyle w:val="Compact"/>
            </w:pPr>
            <w:r>
              <w:t xml:space="preserve">&gt; 100</w:t>
            </w:r>
          </w:p>
        </w:tc>
      </w:tr>
    </w:tbl>
    <w:bookmarkEnd w:id="14"/>
    <w:bookmarkStart w:id="15" w:name="recommended-stack"/>
    <w:p>
      <w:pPr>
        <w:pStyle w:val="Heading3"/>
      </w:pPr>
      <w:r>
        <w:t xml:space="preserve">Recommended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Prometheus</w:t>
      </w:r>
      <w:r>
        <w:t xml:space="preserve"> </w:t>
      </w:r>
      <w:r>
        <w:t xml:space="preserve">for metrics collection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for dashboards (dashboard JSON in</w:t>
      </w:r>
      <w:r>
        <w:t xml:space="preserve"> </w:t>
      </w:r>
      <w:r>
        <w:rPr>
          <w:rStyle w:val="VerbatimChar"/>
        </w:rPr>
        <w:t xml:space="preserve">deployments/monitoring/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Alertmanager</w:t>
      </w:r>
      <w:r>
        <w:t xml:space="preserve"> </w:t>
      </w:r>
      <w:r>
        <w:t xml:space="preserve">for routing alerts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Loki</w:t>
      </w:r>
      <w:r>
        <w:t xml:space="preserve"> </w:t>
      </w:r>
      <w:r>
        <w:t xml:space="preserve">for log aggregation</w:t>
      </w:r>
    </w:p>
    <w:bookmarkEnd w:id="15"/>
    <w:bookmarkStart w:id="16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Each service exposes: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/healthz</w:t>
      </w:r>
      <w:r>
        <w:t xml:space="preserve"> </w:t>
      </w:r>
      <w:r>
        <w:t xml:space="preserve">— liveness probe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/readyz</w:t>
      </w:r>
      <w:r>
        <w:t xml:space="preserve"> </w:t>
      </w:r>
      <w:r>
        <w:t xml:space="preserve">— readiness probe</w:t>
      </w:r>
    </w:p>
    <w:p>
      <w:pPr>
        <w:pStyle w:val="FirstParagraph"/>
      </w:pPr>
      <w:r>
        <w:t xml:space="preserve">Configure these in your orchestrator for automatic restart and traffic routing.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troubleshooting-common-issues"/>
    <w:p>
      <w:pPr>
        <w:pStyle w:val="Heading2"/>
      </w:pPr>
      <w:r>
        <w:t xml:space="preserve">Troubleshooting Common Issues</w:t>
      </w:r>
    </w:p>
    <w:bookmarkStart w:id="18" w:name="etcd-connection-failures"/>
    <w:p>
      <w:pPr>
        <w:pStyle w:val="Heading3"/>
      </w:pPr>
      <w:r>
        <w:t xml:space="preserve">etcd Connection Failures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Services fail to start, logs show</w:t>
      </w:r>
      <w:r>
        <w:t xml:space="preserve"> </w:t>
      </w:r>
      <w:r>
        <w:rPr>
          <w:rStyle w:val="VerbatimChar"/>
        </w:rPr>
        <w:t xml:space="preserve">etcd: connection refused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 Verify etcd endpoints:</w:t>
      </w:r>
      <w:r>
        <w:t xml:space="preserve"> </w:t>
      </w:r>
      <w:r>
        <w:rPr>
          <w:rStyle w:val="VerbatimChar"/>
        </w:rPr>
        <w:t xml:space="preserve">etcdctl endpoint health</w:t>
      </w:r>
      <w:r>
        <w:t xml:space="preserve"> </w:t>
      </w:r>
      <w:r>
        <w:t xml:space="preserve">- Check TLS certificates are valid and not expired.</w:t>
      </w:r>
      <w:r>
        <w:t xml:space="preserve"> </w:t>
      </w:r>
      <w:r>
        <w:t xml:space="preserve">- Ensure network policies allow traffic to etcd ports. The config-driven infra 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deploy/compose/helix_infra.yml</w:t>
      </w:r>
      <w:r>
        <w:t xml:space="preserve">) publishes each of the 3 etcd members on its own</w:t>
      </w:r>
      <w:r>
        <w:t xml:space="preserve"> </w:t>
      </w:r>
      <w:r>
        <w:t xml:space="preserve">host client port —</w:t>
      </w:r>
      <w:r>
        <w:t xml:space="preserve"> </w:t>
      </w:r>
      <w:r>
        <w:rPr>
          <w:rStyle w:val="VerbatimChar"/>
        </w:rPr>
        <w:t xml:space="preserve">2379</w:t>
      </w:r>
      <w:r>
        <w:t xml:space="preserve"> </w:t>
      </w:r>
      <w:r>
        <w:t xml:space="preserve">(etcd-1),</w:t>
      </w:r>
      <w:r>
        <w:t xml:space="preserve"> </w:t>
      </w:r>
      <w:r>
        <w:rPr>
          <w:rStyle w:val="VerbatimChar"/>
        </w:rPr>
        <w:t xml:space="preserve">2479</w:t>
      </w:r>
      <w:r>
        <w:t xml:space="preserve"> </w:t>
      </w:r>
      <w:r>
        <w:t xml:space="preserve">(etcd-2),</w:t>
      </w:r>
      <w:r>
        <w:t xml:space="preserve"> </w:t>
      </w:r>
      <w:r>
        <w:rPr>
          <w:rStyle w:val="VerbatimChar"/>
        </w:rPr>
        <w:t xml:space="preserve">2579</w:t>
      </w:r>
      <w:r>
        <w:t xml:space="preserve"> </w:t>
      </w:r>
      <w:r>
        <w:t xml:space="preserve">(etcd-3) — each mapped to</w:t>
      </w:r>
      <w:r>
        <w:t xml:space="preserve"> </w:t>
      </w:r>
      <w:r>
        <w:t xml:space="preserve">the in-container client port</w:t>
      </w:r>
      <w:r>
        <w:t xml:space="preserve"> </w:t>
      </w:r>
      <w:r>
        <w:rPr>
          <w:rStyle w:val="VerbatimChar"/>
        </w:rPr>
        <w:t xml:space="preserve">2379</w:t>
      </w:r>
      <w:r>
        <w:t xml:space="preserve">; peer ports are</w:t>
      </w:r>
      <w:r>
        <w:t xml:space="preserve"> </w:t>
      </w:r>
      <w:r>
        <w:rPr>
          <w:rStyle w:val="VerbatimChar"/>
        </w:rPr>
        <w:t xml:space="preserve">2380</w:t>
      </w:r>
      <w:r>
        <w:t xml:space="preserve">/</w:t>
      </w:r>
      <w:r>
        <w:rPr>
          <w:rStyle w:val="VerbatimChar"/>
        </w:rPr>
        <w:t xml:space="preserve">2381</w:t>
      </w:r>
      <w:r>
        <w:t xml:space="preserve">/</w:t>
      </w:r>
      <w:r>
        <w:rPr>
          <w:rStyle w:val="VerbatimChar"/>
        </w:rPr>
        <w:t xml:space="preserve">2382</w:t>
      </w:r>
      <w:r>
        <w:t xml:space="preserve">. Kafka exposes</w:t>
      </w:r>
      <w:r>
        <w:t xml:space="preserve"> </w:t>
      </w:r>
      <w:r>
        <w:t xml:space="preserve">a dual-listener broker per member on host ports</w:t>
      </w:r>
      <w:r>
        <w:t xml:space="preserve"> </w:t>
      </w:r>
      <w:r>
        <w:rPr>
          <w:rStyle w:val="VerbatimChar"/>
        </w:rPr>
        <w:t xml:space="preserve">9092</w:t>
      </w:r>
      <w:r>
        <w:t xml:space="preserve"> </w:t>
      </w:r>
      <w:r>
        <w:t xml:space="preserve">(kafka-1),</w:t>
      </w:r>
      <w:r>
        <w:t xml:space="preserve"> </w:t>
      </w:r>
      <w:r>
        <w:rPr>
          <w:rStyle w:val="VerbatimChar"/>
        </w:rPr>
        <w:t xml:space="preserve">9093</w:t>
      </w:r>
      <w:r>
        <w:t xml:space="preserve"> </w:t>
      </w:r>
      <w:r>
        <w:t xml:space="preserve">(kafka-2),</w:t>
      </w:r>
      <w:r>
        <w:t xml:space="preserve"> </w:t>
      </w:r>
      <w:r>
        <w:rPr>
          <w:rStyle w:val="VerbatimChar"/>
        </w:rPr>
        <w:t xml:space="preserve">9094</w:t>
      </w:r>
      <w:r>
        <w:t xml:space="preserve"> </w:t>
      </w:r>
      <w:r>
        <w:t xml:space="preserve">(kafka-3). Workers must be able to reach every published member directly.</w:t>
      </w:r>
    </w:p>
    <w:bookmarkEnd w:id="18"/>
    <w:bookmarkStart w:id="19" w:name="gateway-502-503-errors"/>
    <w:p>
      <w:pPr>
        <w:pStyle w:val="Heading3"/>
      </w:pPr>
      <w:r>
        <w:t xml:space="preserve">Gateway 502 / 503 Errors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Clients receive gateway errors.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 Check gateway logs for upstream connection failures.</w:t>
      </w:r>
      <w:r>
        <w:t xml:space="preserve"> </w:t>
      </w:r>
      <w:r>
        <w:t xml:space="preserve">- Verify target services are registered in etcd (</w:t>
      </w:r>
      <w:r>
        <w:rPr>
          <w:rStyle w:val="VerbatimChar"/>
        </w:rPr>
        <w:t xml:space="preserve">helixctl service list</w:t>
      </w:r>
      <w:r>
        <w:t xml:space="preserve">).</w:t>
      </w:r>
      <w:r>
        <w:t xml:space="preserve"> </w:t>
      </w:r>
      <w:r>
        <w:t xml:space="preserve">- Check readiness probes on backend services.</w:t>
      </w:r>
    </w:p>
    <w:bookmarkEnd w:id="19"/>
    <w:bookmarkStart w:id="20" w:name="high-build-queue-depth"/>
    <w:p>
      <w:pPr>
        <w:pStyle w:val="Heading3"/>
      </w:pPr>
      <w:r>
        <w:t xml:space="preserve">High Build Queue Depth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Jobs remain pending,</w:t>
      </w:r>
      <w:r>
        <w:t xml:space="preserve"> </w:t>
      </w:r>
      <w:r>
        <w:rPr>
          <w:rStyle w:val="VerbatimChar"/>
        </w:rPr>
        <w:t xml:space="preserve">helix_build_queue_depth</w:t>
      </w:r>
      <w:r>
        <w:t xml:space="preserve"> </w:t>
      </w:r>
      <w:r>
        <w:t xml:space="preserve">is high.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 Scale build workers:</w:t>
      </w:r>
      <w:r>
        <w:t xml:space="preserve"> </w:t>
      </w:r>
      <w:r>
        <w:rPr>
          <w:rStyle w:val="VerbatimChar"/>
        </w:rPr>
        <w:t xml:space="preserve">kubectl scale deployment helix-build --replicas=10</w:t>
      </w:r>
      <w:r>
        <w:t xml:space="preserve"> </w:t>
      </w:r>
      <w:r>
        <w:t xml:space="preserve">- Check scheduler logs for resource constraints.</w:t>
      </w:r>
      <w:r>
        <w:t xml:space="preserve"> </w:t>
      </w:r>
      <w:r>
        <w:t xml:space="preserve">- Verify node capacity via</w:t>
      </w:r>
      <w:r>
        <w:t xml:space="preserve"> </w:t>
      </w:r>
      <w:r>
        <w:rPr>
          <w:rStyle w:val="VerbatimChar"/>
        </w:rPr>
        <w:t xml:space="preserve">helixctl node list</w:t>
      </w:r>
      <w:r>
        <w:t xml:space="preserve">.</w:t>
      </w:r>
    </w:p>
    <w:bookmarkEnd w:id="20"/>
    <w:bookmarkStart w:id="22" w:name="certificate-expiry"/>
    <w:p>
      <w:pPr>
        <w:pStyle w:val="Heading3"/>
      </w:pPr>
      <w:r>
        <w:t xml:space="preserve">Certificate Expiry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mTLS handshake failures between services.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 Check certificate expiry:</w:t>
      </w:r>
      <w:r>
        <w:t xml:space="preserve"> </w:t>
      </w:r>
      <w:r>
        <w:rPr>
          <w:rStyle w:val="VerbatimChar"/>
        </w:rPr>
        <w:t xml:space="preserve">openssl x509 -in cert.pem -noout -dates</w:t>
      </w:r>
      <w:r>
        <w:t xml:space="preserve"> </w:t>
      </w:r>
      <w:r>
        <w:t xml:space="preserve">- Rotate certificates (see</w:t>
      </w:r>
      <w:r>
        <w:t xml:space="preserve"> </w:t>
      </w:r>
      <w:hyperlink r:id="rId21">
        <w:r>
          <w:rPr>
            <w:rStyle w:val="Hyperlink"/>
          </w:rPr>
          <w:t xml:space="preserve">TLS Setup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caling-guidelines"/>
    <w:p>
      <w:pPr>
        <w:pStyle w:val="Heading2"/>
      </w:pPr>
      <w:r>
        <w:t xml:space="preserve">Scaling Guidelines</w:t>
      </w:r>
    </w:p>
    <w:bookmarkStart w:id="24" w:name="horizontal-scaling"/>
    <w:p>
      <w:pPr>
        <w:pStyle w:val="Heading3"/>
      </w:pPr>
      <w:r>
        <w:t xml:space="preserve">Horizontal 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Scaling 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CPU &gt; 70% or RPS &gt; 10k</w:t>
            </w:r>
          </w:p>
        </w:tc>
        <w:tc>
          <w:tcPr/>
          <w:p>
            <w:pPr>
              <w:pStyle w:val="Compact"/>
            </w:pPr>
            <w:r>
              <w:t xml:space="preserve">Add gateway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Service</w:t>
            </w:r>
          </w:p>
        </w:tc>
        <w:tc>
          <w:tcPr/>
          <w:p>
            <w:pPr>
              <w:pStyle w:val="Compact"/>
            </w:pPr>
            <w:r>
              <w:t xml:space="preserve">Queue depth &gt; 50</w:t>
            </w:r>
          </w:p>
        </w:tc>
        <w:tc>
          <w:tcPr/>
          <w:p>
            <w:pPr>
              <w:pStyle w:val="Compact"/>
            </w:pPr>
            <w:r>
              <w:t xml:space="preserve">Add build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Scheduling latency &gt; 200ms</w:t>
            </w:r>
          </w:p>
        </w:tc>
        <w:tc>
          <w:tcPr/>
          <w:p>
            <w:pPr>
              <w:pStyle w:val="Compact"/>
            </w:pPr>
            <w:r>
              <w:t xml:space="preserve">Add scheduler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Disk latency &gt; 10ms</w:t>
            </w:r>
          </w:p>
        </w:tc>
        <w:tc>
          <w:tcPr/>
          <w:p>
            <w:pPr>
              <w:pStyle w:val="Compact"/>
            </w:pPr>
            <w:r>
              <w:t xml:space="preserve">Add etcd nodes (odd count)</w:t>
            </w:r>
          </w:p>
        </w:tc>
      </w:tr>
    </w:tbl>
    <w:bookmarkEnd w:id="24"/>
    <w:bookmarkStart w:id="25" w:name="vertical-scaling"/>
    <w:p>
      <w:pPr>
        <w:pStyle w:val="Heading3"/>
      </w:pPr>
      <w:r>
        <w:t xml:space="preserve">Vertical Scaling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Gateway:</w:t>
      </w:r>
      <w:r>
        <w:t xml:space="preserve"> </w:t>
      </w:r>
      <w:r>
        <w:t xml:space="preserve">2 vCPU, 4 GiB memory baseline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1 vCPU, 2 GiB memory baseline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etcd:</w:t>
      </w:r>
      <w:r>
        <w:t xml:space="preserve"> </w:t>
      </w:r>
      <w:r>
        <w:t xml:space="preserve">4 vCPU, 8 GiB memory, SSD storage</w:t>
      </w:r>
    </w:p>
    <w:bookmarkEnd w:id="25"/>
    <w:bookmarkStart w:id="26" w:name="etcd-sizing"/>
    <w:p>
      <w:pPr>
        <w:pStyle w:val="Heading3"/>
      </w:pPr>
      <w:r>
        <w:t xml:space="preserve">etcd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 Size</w:t>
            </w:r>
          </w:p>
        </w:tc>
        <w:tc>
          <w:tcPr/>
          <w:p>
            <w:pPr>
              <w:pStyle w:val="Compact"/>
            </w:pPr>
            <w:r>
              <w:t xml:space="preserve">Max Nodes</w:t>
            </w:r>
          </w:p>
        </w:tc>
        <w:tc>
          <w:tcPr/>
          <w:p>
            <w:pPr>
              <w:pStyle w:val="Compact"/>
            </w:pPr>
            <w:r>
              <w:t xml:space="preserve">Max Concurrent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etcd performance is sensitive to disk I/O. Use dedicated SSDs for production clusters.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security/tls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security/tls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