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223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2026-06-16T21:05:32Z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223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7-active"/>
    <w:p>
      <w:pPr>
        <w:pStyle w:val="Heading2"/>
      </w:pPr>
      <w:r>
        <w:t xml:space="preserve">Foundation (anti-bluff) (7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Wire-in vs prune decision + execution for ~167 orphaned pkg packages (STRATEGIC umbrella)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Chaos OTel polyglot trace (Rust/Elixir/Go) + Grafana dashboards (split from HXC-1258)</w:t>
            </w:r>
          </w:p>
        </w:tc>
      </w:tr>
    </w:tbl>
    <w:bookmarkEnd w:id="9"/>
    <w:bookmarkStart w:id="10" w:name="mvp-5-active"/>
    <w:p>
      <w:pPr>
        <w:pStyle w:val="Heading2"/>
      </w:pPr>
      <w:r>
        <w:t xml:space="preserve">MVP (5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</w:tbl>
    <w:bookmarkEnd w:id="10"/>
    <w:bookmarkStart w:id="11" w:name="phase-2-9-active"/>
    <w:p>
      <w:pPr>
        <w:pStyle w:val="Heading2"/>
      </w:pPr>
      <w:r>
        <w:t xml:space="preserve">Phase 2 (9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internal/console linux_boot.go (BootMachine) with boot_coordinator.go (BootCoordinator)</w:t>
            </w:r>
          </w:p>
        </w:tc>
      </w:tr>
    </w:tbl>
    <w:bookmarkEnd w:id="11"/>
    <w:bookmarkStart w:id="12" w:name="phase-3-31-active"/>
    <w:p>
      <w:pPr>
        <w:pStyle w:val="Heading2"/>
      </w:pPr>
      <w:r>
        <w:t xml:space="preserve">Phase 3 (31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pkg/powergater CanAcceptWork into edge/agent work-acceptance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CGO-enabled aarch64 cross-build via zig cc / aarch64-linux-gnu-gcc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validate cross-compiled helix-agent on real Orange Pi 5 Max (aarch64)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HXC-1158 follow-up: add positive non-console SoC-match labels (RK3588/RPi/x86 server) to internal/console detector</w:t>
            </w:r>
          </w:p>
        </w:tc>
      </w:tr>
    </w:tbl>
    <w:bookmarkEnd w:id="12"/>
    <w:bookmarkStart w:id="13" w:name="phase-4-44-active"/>
    <w:p>
      <w:pPr>
        <w:pStyle w:val="Heading2"/>
      </w:pPr>
      <w:r>
        <w:t xml:space="preserve">Phase 4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Replicate SELinux relabel fix (HXC-1621) to Herald/containers/pkg/crossbuild duplicate 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Bazel Remote Execution (REAPI) interop for build service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26-active"/>
    <w:p>
      <w:pPr>
        <w:pStyle w:val="Heading2"/>
      </w:pPr>
      <w:r>
        <w:t xml:space="preserve">Phase 5 (26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Live-cloud IMDS interruption integration on real AWS/Azure/GCP spot accounts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pkg/benchmark normalized scores across two physically different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linux fixtures on real linux CI for wave-74 packages (CLAUDE-2)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Real macOS thermal source for powergater/edgeheartbeat CPU 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discrete-GPU/NPU hardware probe for pkg/resources accelerators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tierdetect linux cpuinfoIsARM64 multi-digit CPU-architecture parsing</w:t>
            </w:r>
          </w:p>
        </w:tc>
      </w:tr>
    </w:tbl>
    <w:bookmarkEnd w:id="14"/>
    <w:bookmarkStart w:id="15" w:name="phase-6-17-active"/>
    <w:p>
      <w:pPr>
        <w:pStyle w:val="Heading2"/>
      </w:pPr>
      <w:r>
        <w:t xml:space="preserve">Phase 6 (17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cmd/helix-federation and wire Phase 6 packages (federation/crdt/hlc/spiffefed/gitops)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ArgoCD 3-cell ApplicationSet rollout usability capture (HXC-1367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Karmada multi-cluster &lt;60s failover usability capture (HXC-1364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Two-node LAN mDNS discovery usability capture (HXC-1347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</w:tbl>
    <w:bookmarkEnd w:id="15"/>
    <w:bookmarkStart w:id="16" w:name="phase-7-4-active"/>
    <w:p>
      <w:pPr>
        <w:pStyle w:val="Heading2"/>
      </w:pPr>
      <w:r>
        <w:t xml:space="preserve">Phase 7 (4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cmd/dst-sim 1000-seed gate as a live CI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internal/chaos: author live-cluster nightly pipeline + GitHub Actions workflow</w:t>
            </w:r>
          </w:p>
        </w:tc>
      </w:tr>
    </w:tbl>
    <w:bookmarkEnd w:id="16"/>
    <w:bookmarkStart w:id="17" w:name="phase-8-40-active"/>
    <w:p>
      <w:pPr>
        <w:pStyle w:val="Heading2"/>
      </w:pPr>
      <w:r>
        <w:t xml:space="preserve">Phase 8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Phase 8 marketplace/GraVal/miner into a real control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Resolve dual package trees: top-level pkg/gpuattest vs security/pkg/gpuattest (and similar)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28-active"/>
    <w:p>
      <w:pPr>
        <w:pStyle w:val="Heading2"/>
      </w:pPr>
      <w:r>
        <w:t xml:space="preserve">Phase 8B (28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pkg/gpu ProviderAdapter registry into pkg/pool provider consumption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12-active"/>
    <w:p>
      <w:pPr>
        <w:pStyle w:val="Heading2"/>
      </w:pPr>
      <w:r>
        <w:t xml:space="preserve">Phase 8C (12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