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126+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Oracle-SCAN-style stable virtual client endpoint: least-loaded healthy-backend routing with a membership-stable name and injected clock.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deltacrdt</w:t>
            </w:r>
          </w:p>
        </w:tc>
        <w:tc>
          <w:tcPr/>
          <w:p>
            <w:pPr>
              <w:pStyle w:val="Compact"/>
            </w:pPr>
            <w:r>
              <w:t xml:space="preserve">Standalone delta-state CRDTs (G-counter / PN-counter / observed-remove OR-set / LWW-map) with delta-mutators and a convergent (commutative/associative/idempotent) merge.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llmfailover</w:t>
            </w:r>
          </w:p>
        </w:tc>
        <w:tc>
          <w:tcPr/>
          <w:p>
            <w:pPr>
              <w:pStyle w:val="Compact"/>
            </w:pPr>
            <w:r>
              <w:t xml:space="preserve">Error-classified LLM failover taxonomy (deterministic per-class fallback paths) plus a sandbox scheduling-hint contract.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gputopo</w:t>
            </w:r>
          </w:p>
        </w:tc>
        <w:tc>
          <w:tcPr/>
          <w:p>
            <w:pPr>
              <w:pStyle w:val="Compact"/>
            </w:pPr>
            <w:r>
              <w:t xml:space="preserve">Topology-aware NUMA/NVLink GPU placement scoring that prefers NVLink-connected GPU pairs and falls back to PCIe.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balancemonitor</w:t>
            </w:r>
          </w:p>
        </w:tc>
        <w:tc>
          <w:tcPr/>
          <w:p>
            <w:pPr>
              <w:pStyle w:val="Compact"/>
            </w:pPr>
            <w:r>
              <w:t xml:space="preserve">USD account-balance monitor with a strict low-balance floor warning, over HTTP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fsresidency</w:t>
            </w:r>
          </w:p>
        </w:tc>
        <w:tc>
          <w:tcPr/>
          <w:p>
            <w:pPr>
              <w:pStyle w:val="Compact"/>
            </w:pPr>
            <w:r>
              <w:t xml:space="preserve">Filesystem residency challenge: per-byte-range</w:t>
            </w:r>
            <w:r>
              <w:t xml:space="preserve"> </w:t>
            </w:r>
            <w:r>
              <w:rPr>
                <w:rStyle w:val="VerbatimChar"/>
              </w:rPr>
              <w:t xml:space="preserve">ReadAt</w:t>
            </w:r>
            <w:r>
              <w:t xml:space="preserve"> </w:t>
            </w:r>
            <w:r>
              <w:t xml:space="preserve">+ SHA-256 verification proving a model file is really present on disk; truncated / missing / mismatch all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llmadapter</w:t>
            </w:r>
          </w:p>
        </w:tc>
        <w:tc>
          <w:tcPr/>
          <w:p>
            <w:pPr>
              <w:pStyle w:val="Compact"/>
            </w:pPr>
            <w:r>
              <w:t xml:space="preserve">Claude Messages / OpenAI Responses-API request and response shape adapters to OpenAI chat-completions, preserving tool-call order.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