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2026-06-01T10:29:29Z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8d7030c</w:t>
            </w:r>
          </w:p>
        </w:tc>
        <w:tc>
          <w:tcPr/>
          <w:p>
            <w:pPr>
              <w:pStyle w:val="Compact"/>
            </w:pPr>
            <w:r>
              <w:t xml:space="preserve">Foundation: add pkg/testing/evidence — §7.1 positive-evidence test helper (TDD + §1.1 mutation-paired)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8b04418</w:t>
            </w:r>
          </w:p>
        </w:tc>
        <w:tc>
          <w:tcPr/>
          <w:p>
            <w:pPr>
              <w:pStyle w:val="Compact"/>
            </w:pPr>
            <w:r>
              <w:t xml:space="preserve">Phase 8 gaps: chutes inference client+SSE+crypto seams, marketplace adapter+scorer, GPU dual-class reservation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ded59ff</w:t>
            </w:r>
          </w:p>
        </w:tc>
        <w:tc>
          <w:tcPr/>
          <w:p>
            <w:pPr>
              <w:pStyle w:val="Compact"/>
            </w:pPr>
            <w:r>
              <w:t xml:space="preserve">Phase 7 gaps: hashslot CRC16, largest-subcluster voting, SLURM backfill, health startup tier, N+K admission, BOINC trust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2026-06-01T10:29:29Z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