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0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 </w:t>
            </w:r>
            <w:r>
              <w:t xml:space="preserve">(ProviderAdapter registration hooks → pool-facing provider listing),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 </w:t>
            </w:r>
            <w:r>
              <w:t xml:space="preserve">(real repeatable on-host CPU score + GPU TFLOPS / NPU TOPS seams),</w:t>
            </w:r>
            <w:r>
              <w:t xml:space="preserve"> </w:t>
            </w:r>
            <w:r>
              <w:rPr>
                <w:rStyle w:val="VerbatimChar"/>
              </w:rPr>
              <w:t xml:space="preserve">tierdetect</w:t>
            </w:r>
            <w:r>
              <w:t xml:space="preserve"> </w:t>
            </w:r>
            <w:r>
              <w:t xml:space="preserve">(cross-platform host-capability pre-provision gate →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(AWS IMDSv2 / Azure scheduled-events / GCP preemption interruption pollers → drain/checkpoint/upload,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5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docs/MVP_ARCHITECTURE.md</w:t>
        </w:r>
      </w:hyperlink>
      <w:r>
        <w:t xml:space="preserve"> </w:t>
      </w:r>
      <w:r>
        <w:t xml:space="preserve">— living MVP seven-layer overview + service-communication Mermaid grounded in real packages, with a Go drift-validator that fails the build on doc/codebase drift (HXC-1145)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docs/NODE_PROVISIONING_BOUNDARY.md</w:t>
        </w:r>
      </w:hyperlink>
      <w:r>
        <w:t xml:space="preserve"> </w:t>
      </w:r>
      <w:r>
        <w:t xml:space="preserve">— node-provisioning boundary: Helix provisions operator-controlled nodes;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jailbreak/root/unlock or bypass any device security (HXC-1146)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docs/guides/phase_02_architecture.md</w:t>
        </w:r>
      </w:hyperlink>
      <w:r>
        <w:t xml:space="preserve"> </w:t>
      </w:r>
      <w:r>
        <w:t xml:space="preserve">— Phase 02 architecture guide: operator console → WireGuard/SWIM mesh → discovery/scheduler → Linux node, with a traced job path and the no-jailbreak boundary (HXC-1164)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docs/architecture/PHASE_8C_INTEGRATION.md</w:t>
        </w:r>
      </w:hyperlink>
      <w:r>
        <w:t xml:space="preserve"> </w:t>
      </w:r>
      <w:r>
        <w:t xml:space="preserve">— code-grounded Phase 8C integration map: attestation→scheduler, e2ee→orchestrator, marketplace seams (implemented vs PLANNED) (HXC-1614)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docs/PHASE_8C_EXIT_GATE_EVIDENCE.md</w:t>
        </w:r>
      </w:hyperlink>
      <w:r>
        <w:t xml:space="preserve"> </w:t>
      </w:r>
      <w:r>
        <w:t xml:space="preserve">— Phase 8C CLAUDE-1 exit-gate evidence matrix (PROVEN / PARTIAL / NOT-YET, each row tied to a real test or a Queued ticket) (HXC-1613)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30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31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34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34"/>
    <w:bookmarkEnd w:id="35"/>
    <w:bookmarkStart w:id="36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6"/>
    <w:bookmarkStart w:id="37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7"/>
    <w:bookmarkStart w:id="39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30" Target="CODING_STANDARDS_C.md" TargetMode="External" /><Relationship Type="http://schemas.openxmlformats.org/officeDocument/2006/relationships/hyperlink" Id="rId29" Target="CODING_STANDARDS_GO.md" TargetMode="External" /><Relationship Type="http://schemas.openxmlformats.org/officeDocument/2006/relationships/hyperlink" Id="rId31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32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8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3" Target="docs/FOUNDATION_PACKAGES.md" TargetMode="External" /><Relationship Type="http://schemas.openxmlformats.org/officeDocument/2006/relationships/hyperlink" Id="rId24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5" Target="docs/NODE_PROVISIONING_BOUNDARY.md" TargetMode="External" /><Relationship Type="http://schemas.openxmlformats.org/officeDocument/2006/relationships/hyperlink" Id="rId28" Target="docs/PHASE_8C_EXIT_GATE_EVIDENCE.md" TargetMode="External" /><Relationship Type="http://schemas.openxmlformats.org/officeDocument/2006/relationships/hyperlink" Id="rId27" Target="docs/architecture/PHASE_8C_INTEGRATION.md" TargetMode="External" /><Relationship Type="http://schemas.openxmlformats.org/officeDocument/2006/relationships/hyperlink" Id="rId26" Target="docs/guides/phase_02_architecture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30" Target="CODING_STANDARDS_C.md" TargetMode="External" /><Relationship Type="http://schemas.openxmlformats.org/officeDocument/2006/relationships/hyperlink" Id="rId29" Target="CODING_STANDARDS_GO.md" TargetMode="External" /><Relationship Type="http://schemas.openxmlformats.org/officeDocument/2006/relationships/hyperlink" Id="rId31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32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8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3" Target="docs/FOUNDATION_PACKAGES.md" TargetMode="External" /><Relationship Type="http://schemas.openxmlformats.org/officeDocument/2006/relationships/hyperlink" Id="rId24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5" Target="docs/NODE_PROVISIONING_BOUNDARY.md" TargetMode="External" /><Relationship Type="http://schemas.openxmlformats.org/officeDocument/2006/relationships/hyperlink" Id="rId28" Target="docs/PHASE_8C_EXIT_GATE_EVIDENCE.md" TargetMode="External" /><Relationship Type="http://schemas.openxmlformats.org/officeDocument/2006/relationships/hyperlink" Id="rId27" Target="docs/architecture/PHASE_8C_INTEGRATION.md" TargetMode="External" /><Relationship Type="http://schemas.openxmlformats.org/officeDocument/2006/relationships/hyperlink" Id="rId26" Target="docs/guides/phase_02_architecture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