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16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this project will be documented in this file.</w:t>
      </w:r>
    </w:p>
    <w:p>
      <w:pPr>
        <w:pStyle w:val="BodyText"/>
      </w:pPr>
      <w:r>
        <w:t xml:space="preserve">The format is based on</w:t>
      </w:r>
      <w:r>
        <w:t xml:space="preserve"> </w:t>
      </w:r>
      <w:hyperlink r:id="rId9">
        <w:r>
          <w:rPr>
            <w:rStyle w:val="Hyperlink"/>
          </w:rPr>
          <w:t xml:space="preserve">Keep a Changelog</w:t>
        </w:r>
      </w:hyperlink>
      <w:r>
        <w:t xml:space="preserve">,</w:t>
      </w:r>
      <w:r>
        <w:t xml:space="preserve"> </w:t>
      </w:r>
      <w:r>
        <w:t xml:space="preserve">and this project adheres to</w:t>
      </w:r>
      <w:r>
        <w:t xml:space="preserve"> </w:t>
      </w:r>
      <w:hyperlink r:id="rId10">
        <w:r>
          <w:rPr>
            <w:rStyle w:val="Hyperlink"/>
          </w:rPr>
          <w:t xml:space="preserve">Semantic Versioning</w:t>
        </w:r>
      </w:hyperlink>
      <w:r>
        <w:t xml:space="preserve">.</w:t>
      </w:r>
    </w:p>
    <w:bookmarkStart w:id="13" w:name="unreleased"/>
    <w:p>
      <w:pPr>
        <w:pStyle w:val="Heading2"/>
      </w:pPr>
      <w:r>
        <w:t xml:space="preserve">[Unreleased]</w:t>
      </w:r>
    </w:p>
    <w:bookmarkStart w:id="11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75 — provider hardening, security &amp; boot readiness (5 items, all independently gated):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pkg/provider/runpod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Provision</w:t>
      </w:r>
      <w:r>
        <w:t xml:space="preserve"> </w:t>
      </w:r>
      <w:r>
        <w:t xml:space="preserve">no longer holds the mutex across the</w:t>
      </w:r>
      <w:r>
        <w:t xml:space="preserve"> </w:t>
      </w:r>
      <w:r>
        <w:rPr>
          <w:rStyle w:val="VerbatimChar"/>
        </w:rPr>
        <w:t xml:space="preserve">ColdProvision</w:t>
      </w:r>
      <w:r>
        <w:t xml:space="preserve"> </w:t>
      </w:r>
      <w:r>
        <w:t xml:space="preserve">network RPC (concurrent cold provisions overlap;</w:t>
      </w:r>
      <w:r>
        <w:t xml:space="preserve"> </w:t>
      </w:r>
      <w:r>
        <w:rPr>
          <w:rStyle w:val="VerbatimChar"/>
        </w:rPr>
        <w:t xml:space="preserve">reserved</w:t>
      </w:r>
      <w:r>
        <w:t xml:space="preserve"> </w:t>
      </w:r>
      <w:r>
        <w:t xml:space="preserve">counter preserves capacity), and</w:t>
      </w:r>
      <w:r>
        <w:t xml:space="preserve"> </w:t>
      </w:r>
      <w:r>
        <w:rPr>
          <w:rStyle w:val="VerbatimChar"/>
        </w:rPr>
        <w:t xml:space="preserve">EndpointOf(id)</w:t>
      </w:r>
      <w:r>
        <w:t xml:space="preserve"> </w:t>
      </w:r>
      <w:r>
        <w:t xml:space="preserve">surfaces the reachable worker endpoint (HXC-919).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pkg/marketplaceadapter</w:t>
      </w:r>
      <w:r>
        <w:t xml:space="preserve"> </w:t>
      </w:r>
      <w:r>
        <w:t xml:space="preserve">(</w:t>
      </w:r>
      <w:r>
        <w:rPr>
          <w:b/>
          <w:bCs/>
        </w:rPr>
        <w:t xml:space="preserve">security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buildSDL</w:t>
      </w:r>
      <w:r>
        <w:t xml:space="preserve"> </w:t>
      </w:r>
      <w:r>
        <w:t xml:space="preserve">YAML-encodes caller-controlled fields to contain manifest injection, and the Akash reputation gate is no longer bypassable by a zero-value adapter (HXC-918).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pkg/provider/chutes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parseRetryAfter</w:t>
      </w:r>
      <w:r>
        <w:t xml:space="preserve"> </w:t>
      </w:r>
      <w:r>
        <w:t xml:space="preserve">HTTP-date branch + past-date clamp now covered by tests (HXC-920).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internal/console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BootCoordinator</w:t>
      </w:r>
      <w:r>
        <w:t xml:space="preserve"> </w:t>
      </w:r>
      <w:r>
        <w:t xml:space="preserve">wired into the real</w:t>
      </w:r>
      <w:r>
        <w:t xml:space="preserve"> </w:t>
      </w:r>
      <w:r>
        <w:rPr>
          <w:rStyle w:val="VerbatimChar"/>
        </w:rPr>
        <w:t xml:space="preserve">Registrar</w:t>
      </w:r>
      <w:r>
        <w:t xml:space="preserve"> </w:t>
      </w:r>
      <w:r>
        <w:t xml:space="preserve">via a</w:t>
      </w:r>
      <w:r>
        <w:t xml:space="preserve"> </w:t>
      </w:r>
      <w:r>
        <w:rPr>
          <w:rStyle w:val="VerbatimChar"/>
        </w:rPr>
        <w:t xml:space="preserve">ReadyGate</w:t>
      </w:r>
      <w:r>
        <w:t xml:space="preserve"> </w:t>
      </w:r>
      <w:r>
        <w:t xml:space="preserve">so node registration blocks on boot readiness (HXC-1147).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docs/guides/phase_02_architecture.md</w:t>
      </w:r>
      <w:r>
        <w:t xml:space="preserve"> </w:t>
      </w:r>
      <w:r>
        <w:t xml:space="preserve">— Phase-02 architecture guide + Mermaid diagram, docs_chain-tracked (HXC-1164).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74 — accelerator probing, power-aware edge &amp; raft durability (5 items, all independently gated build/vet/-race + load-bearing mutation bite):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pkg/resources</w:t>
      </w:r>
      <w:r>
        <w:t xml:space="preserve"> </w:t>
      </w:r>
      <w:r>
        <w:t xml:space="preserve">accelerator reporting:</w:t>
      </w:r>
      <w:r>
        <w:t xml:space="preserve"> </w:t>
      </w:r>
      <w:r>
        <w:rPr>
          <w:rStyle w:val="VerbatimChar"/>
        </w:rPr>
        <w:t xml:space="preserve">GPUInfo.TFLOPS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Accelerators{NPUTops,FPGALogicElements,QPUPresent}</w:t>
      </w:r>
      <w:r>
        <w:t xml:space="preserve">, real per-OS probe (darwin Apple-GPU TFLOPS from</w:t>
      </w:r>
      <w:r>
        <w:t xml:space="preserve"> </w:t>
      </w:r>
      <w:r>
        <w:rPr>
          <w:rStyle w:val="VerbatimChar"/>
        </w:rPr>
        <w:t xml:space="preserve">system_profiler</w:t>
      </w:r>
      <w:r>
        <w:t xml:space="preserve">, linux sysfs PCI catalog) + operator override-label fallback (HXC-1300).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pkg/powergater</w:t>
      </w:r>
      <w:r>
        <w:t xml:space="preserve"> </w:t>
      </w:r>
      <w:r>
        <w:t xml:space="preserve">— charging-gated</w:t>
      </w:r>
      <w:r>
        <w:t xml:space="preserve"> </w:t>
      </w:r>
      <w:r>
        <w:rPr>
          <w:rStyle w:val="VerbatimChar"/>
        </w:rPr>
        <w:t xml:space="preserve">CanAcceptWork() (bool, reason)</w:t>
      </w:r>
      <w:r>
        <w:t xml:space="preserve"> </w:t>
      </w:r>
      <w:r>
        <w:t xml:space="preserve">work-acceptance guard with real darwin</w:t>
      </w:r>
      <w:r>
        <w:t xml:space="preserve"> </w:t>
      </w:r>
      <w:r>
        <w:rPr>
          <w:rStyle w:val="VerbatimChar"/>
        </w:rPr>
        <w:t xml:space="preserve">pmset</w:t>
      </w:r>
      <w:r>
        <w:t xml:space="preserve"> </w:t>
      </w:r>
      <w:r>
        <w:t xml:space="preserve">/ linux sysfs</w:t>
      </w:r>
      <w:r>
        <w:t xml:space="preserve"> </w:t>
      </w:r>
      <w:r>
        <w:rPr>
          <w:rStyle w:val="VerbatimChar"/>
        </w:rPr>
        <w:t xml:space="preserve">PowerSource</w:t>
      </w:r>
      <w:r>
        <w:t xml:space="preserve"> </w:t>
      </w:r>
      <w:r>
        <w:t xml:space="preserve">(HXC-1175).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pkg/edgeheartbeat</w:t>
      </w:r>
      <w:r>
        <w:t xml:space="preserve"> </w:t>
      </w:r>
      <w:r>
        <w:t xml:space="preserve">— battery/charging/thermal/network heartbeat + churn-timeout collector over a real loopback transport, real per-OS</w:t>
      </w:r>
      <w:r>
        <w:t xml:space="preserve"> </w:t>
      </w:r>
      <w:r>
        <w:rPr>
          <w:rStyle w:val="VerbatimChar"/>
        </w:rPr>
        <w:t xml:space="preserve">TelemetrySource</w:t>
      </w:r>
      <w:r>
        <w:t xml:space="preserve"> </w:t>
      </w:r>
      <w:r>
        <w:t xml:space="preserve">(HXC-1185).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pkg/multiraft</w:t>
      </w:r>
      <w:r>
        <w:t xml:space="preserve"> </w:t>
      </w:r>
      <w:r>
        <w:rPr>
          <w:b/>
          <w:bCs/>
        </w:rPr>
        <w:t xml:space="preserve">durability fix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ShardStorage</w:t>
      </w:r>
      <w:r>
        <w:t xml:space="preserve"> </w:t>
      </w:r>
      <w:r>
        <w:t xml:space="preserve">persistence error now</w:t>
      </w:r>
      <w:r>
        <w:t xml:space="preserve"> </w:t>
      </w:r>
      <w:r>
        <w:rPr>
          <w:b/>
          <w:bCs/>
        </w:rPr>
        <w:t xml:space="preserve">parks</w:t>
      </w:r>
      <w:r>
        <w:t xml:space="preserve"> </w:t>
      </w:r>
      <w:r>
        <w:t xml:space="preserve">the un-persisted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skips</w:t>
      </w:r>
      <w:r>
        <w:t xml:space="preserve"> 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(no false</w:t>
      </w:r>
      <w:r>
        <w:t xml:space="preserve"> </w:t>
      </w:r>
      <w:r>
        <w:t xml:space="preserve">“durably handled”</w:t>
      </w:r>
      <w:r>
        <w:t xml:space="preserve">), instead of swallowing the error (HXC-917).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docs/NODE_PROVISIONING_BOUNDARY.md</w:t>
      </w:r>
      <w:r>
        <w:t xml:space="preserve"> </w:t>
      </w:r>
      <w:r>
        <w:t xml:space="preserve">— normative no-jailbreak/no-root/no-unlock provisioning boundary, registered in docs_chain (HXC-1146).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Foundation distributed-systems library (</w:t>
      </w:r>
      <w:r>
        <w:rPr>
          <w:rStyle w:val="VerbatimChar"/>
          <w:b/>
          <w:bCs/>
        </w:rPr>
        <w:t xml:space="preserve">pkg/</w:t>
      </w:r>
      <w:r>
        <w:rPr>
          <w:b/>
          <w:bCs/>
        </w:rPr>
        <w:t xml:space="preserve">)</w:t>
      </w:r>
      <w:r>
        <w:t xml:space="preserve"> </w:t>
      </w:r>
      <w:r>
        <w:t xml:space="preserve">— a large, growing pure-Go, deterministic, mutation-tested package set. Recent additions include:</w:t>
      </w:r>
    </w:p>
    <w:p>
      <w:pPr>
        <w:pStyle w:val="Compact"/>
        <w:numPr>
          <w:ilvl w:val="1"/>
          <w:numId w:val="1004"/>
        </w:numPr>
      </w:pPr>
      <w:r>
        <w:t xml:space="preserve">Consensus/coordination:</w:t>
      </w:r>
      <w:r>
        <w:t xml:space="preserve"> </w:t>
      </w:r>
      <w:r>
        <w:rPr>
          <w:rStyle w:val="VerbatimChar"/>
        </w:rPr>
        <w:t xml:space="preserve">voting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failconfirm</w:t>
      </w:r>
      <w:r>
        <w:t xml:space="preserve">,</w:t>
      </w:r>
      <w:r>
        <w:t xml:space="preserve"> </w:t>
      </w:r>
      <w:r>
        <w:rPr>
          <w:rStyle w:val="VerbatimChar"/>
        </w:rPr>
        <w:t xml:space="preserve">heartbeatcoalescer</w:t>
      </w:r>
      <w:r>
        <w:t xml:space="preserve">,</w:t>
      </w:r>
      <w:r>
        <w:t xml:space="preserve"> </w:t>
      </w:r>
      <w:r>
        <w:rPr>
          <w:rStyle w:val="VerbatimChar"/>
        </w:rPr>
        <w:t xml:space="preserve">splitbrainalert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Replication/state:</w:t>
      </w:r>
      <w:r>
        <w:t xml:space="preserve"> </w:t>
      </w:r>
      <w:r>
        <w:rPr>
          <w:rStyle w:val="VerbatimChar"/>
        </w:rPr>
        <w:t xml:space="preserve">mvcc</w:t>
      </w:r>
      <w:r>
        <w:t xml:space="preserve"> </w:t>
      </w:r>
      <w:r>
        <w:t xml:space="preserve">(B-tree time-travel store),</w:t>
      </w:r>
      <w:r>
        <w:t xml:space="preserve"> </w:t>
      </w:r>
      <w:r>
        <w:rPr>
          <w:rStyle w:val="VerbatimChar"/>
        </w:rPr>
        <w:t xml:space="preserve">antientropy</w:t>
      </w:r>
      <w:r>
        <w:t xml:space="preserve"> </w:t>
      </w:r>
      <w:r>
        <w:t xml:space="preserve">(hinted-handoff + read-repair + Merkle diff),</w:t>
      </w:r>
      <w:r>
        <w:t xml:space="preserve"> </w:t>
      </w:r>
      <w:r>
        <w:rPr>
          <w:rStyle w:val="VerbatimChar"/>
        </w:rPr>
        <w:t xml:space="preserve">watchmanager</w:t>
      </w:r>
      <w:r>
        <w:t xml:space="preserve"> </w:t>
      </w:r>
      <w:r>
        <w:t xml:space="preserve">(synced/unsynced/victim watch groups),</w:t>
      </w:r>
      <w:r>
        <w:t xml:space="preserve"> </w:t>
      </w:r>
      <w:r>
        <w:rPr>
          <w:rStyle w:val="VerbatimChar"/>
        </w:rPr>
        <w:t xml:space="preserve">crdt</w:t>
      </w:r>
      <w:r>
        <w:t xml:space="preserve">/</w:t>
      </w:r>
      <w:r>
        <w:rPr>
          <w:rStyle w:val="VerbatimChar"/>
        </w:rPr>
        <w:t xml:space="preserve">merkle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Scheduling/placement:</w:t>
      </w:r>
      <w:r>
        <w:t xml:space="preserve"> </w:t>
      </w:r>
      <w:r>
        <w:rPr>
          <w:rStyle w:val="VerbatimChar"/>
        </w:rPr>
        <w:t xml:space="preserve">constraints</w:t>
      </w:r>
      <w:r>
        <w:t xml:space="preserve"> </w:t>
      </w:r>
      <w:r>
        <w:t xml:space="preserve">(Pacemaker 4-type),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(value-multiplier),</w:t>
      </w:r>
      <w:r>
        <w:t xml:space="preserve"> </w:t>
      </w:r>
      <w:r>
        <w:rPr>
          <w:rStyle w:val="VerbatimChar"/>
        </w:rPr>
        <w:t xml:space="preserve">priorityqueue</w:t>
      </w:r>
      <w:r>
        <w:t xml:space="preserve"> </w:t>
      </w:r>
      <w:r>
        <w:t xml:space="preserve">(multifactor aging),</w:t>
      </w:r>
      <w:r>
        <w:t xml:space="preserve"> </w:t>
      </w:r>
      <w:r>
        <w:rPr>
          <w:rStyle w:val="VerbatimChar"/>
        </w:rPr>
        <w:t xml:space="preserve">workclaim</w:t>
      </w:r>
      <w:r>
        <w:t xml:space="preserve"> </w:t>
      </w:r>
      <w:r>
        <w:t xml:space="preserve">(SKIP-LOCKED),</w:t>
      </w:r>
      <w:r>
        <w:t xml:space="preserve"> </w:t>
      </w:r>
      <w:r>
        <w:rPr>
          <w:rStyle w:val="VerbatimChar"/>
        </w:rPr>
        <w:t xml:space="preserve">admissioncontrol</w:t>
      </w:r>
      <w:r>
        <w:t xml:space="preserve"> </w:t>
      </w:r>
      <w:r>
        <w:t xml:space="preserve">(N+K reserve),</w:t>
      </w:r>
      <w:r>
        <w:t xml:space="preserve"> </w:t>
      </w:r>
      <w:r>
        <w:rPr>
          <w:rStyle w:val="VerbatimChar"/>
        </w:rPr>
        <w:t xml:space="preserve">budgetcap</w:t>
      </w:r>
      <w:r>
        <w:t xml:space="preserve">,</w:t>
      </w:r>
      <w:r>
        <w:t xml:space="preserve"> </w:t>
      </w:r>
      <w:r>
        <w:rPr>
          <w:rStyle w:val="VerbatimChar"/>
        </w:rPr>
        <w:t xml:space="preserve">qos</w:t>
      </w:r>
      <w:r>
        <w:t xml:space="preserve">,</w:t>
      </w:r>
      <w:r>
        <w:t xml:space="preserve"> </w:t>
      </w:r>
      <w:r>
        <w:rPr>
          <w:rStyle w:val="VerbatimChar"/>
        </w:rPr>
        <w:t xml:space="preserve">suitability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ewmarank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fallbackchain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GPU/resource &amp; cost:</w:t>
      </w:r>
      <w:r>
        <w:t xml:space="preserve"> </w:t>
      </w:r>
      <w:r>
        <w:rPr>
          <w:rStyle w:val="VerbatimChar"/>
        </w:rPr>
        <w:t xml:space="preserve">costsched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latencysched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gpuattest</w:t>
      </w:r>
      <w:r>
        <w:t xml:space="preserve"> </w:t>
      </w:r>
      <w:r>
        <w:t xml:space="preserve">(attestation crypto: challenge/response, proof-of-GPU-work, O(1) spot-check, device-sealing),</w:t>
      </w:r>
      <w:r>
        <w:t xml:space="preserve"> </w:t>
      </w:r>
      <w:r>
        <w:rPr>
          <w:rStyle w:val="VerbatimChar"/>
        </w:rPr>
        <w:t xml:space="preserve">attestadmit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(TCO),</w:t>
      </w:r>
      <w:r>
        <w:t xml:space="preserve"> </w:t>
      </w:r>
      <w:r>
        <w:rPr>
          <w:rStyle w:val="VerbatimChar"/>
        </w:rPr>
        <w:t xml:space="preserve">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burst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Messaging/flow &amp; edge:</w:t>
      </w:r>
      <w:r>
        <w:t xml:space="preserve"> </w:t>
      </w:r>
      <w:r>
        <w:rPr>
          <w:rStyle w:val="VerbatimChar"/>
        </w:rPr>
        <w:t xml:space="preserve">flowcontrol</w:t>
      </w:r>
      <w:r>
        <w:t xml:space="preserve"> </w:t>
      </w:r>
      <w:r>
        <w:t xml:space="preserve">(K8s APF),</w:t>
      </w:r>
      <w:r>
        <w:t xml:space="preserve"> </w:t>
      </w:r>
      <w:r>
        <w:rPr>
          <w:rStyle w:val="VerbatimChar"/>
        </w:rPr>
        <w:t xml:space="preserve">idempotent</w:t>
      </w:r>
      <w:r>
        <w:t xml:space="preserve"> </w:t>
      </w:r>
      <w:r>
        <w:t xml:space="preserve">(exactly-once),</w:t>
      </w:r>
      <w:r>
        <w:t xml:space="preserve"> </w:t>
      </w:r>
      <w:r>
        <w:rPr>
          <w:rStyle w:val="VerbatimChar"/>
        </w:rPr>
        <w:t xml:space="preserve">rebalance</w:t>
      </w:r>
      <w:r>
        <w:t xml:space="preserve"> </w:t>
      </w:r>
      <w:r>
        <w:t xml:space="preserve">(cooperative-sticky),</w:t>
      </w:r>
      <w:r>
        <w:t xml:space="preserve"> </w:t>
      </w:r>
      <w:r>
        <w:rPr>
          <w:rStyle w:val="VerbatimChar"/>
        </w:rPr>
        <w:t xml:space="preserve">informer</w:t>
      </w:r>
      <w:r>
        <w:t xml:space="preserve"> </w:t>
      </w:r>
      <w:r>
        <w:t xml:space="preserve">(list-watch cache),</w:t>
      </w:r>
      <w:r>
        <w:t xml:space="preserve"> </w:t>
      </w:r>
      <w:r>
        <w:rPr>
          <w:rStyle w:val="VerbatimChar"/>
        </w:rPr>
        <w:t xml:space="preserve">redundantexec</w:t>
      </w:r>
      <w:r>
        <w:t xml:space="preserve"> </w:t>
      </w:r>
      <w:r>
        <w:t xml:space="preserve">(BOINC trust),</w:t>
      </w:r>
      <w:r>
        <w:t xml:space="preserve"> </w:t>
      </w:r>
      <w:r>
        <w:rPr>
          <w:rStyle w:val="VerbatimChar"/>
        </w:rPr>
        <w:t xml:space="preserve">edgeregistry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slotmigration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healthprobe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Testing/simulation:</w:t>
      </w:r>
      <w:r>
        <w:t xml:space="preserve"> </w:t>
      </w:r>
      <w:r>
        <w:rPr>
          <w:rStyle w:val="VerbatimChar"/>
        </w:rPr>
        <w:t xml:space="preserve">timefault</w:t>
      </w:r>
      <w:r>
        <w:t xml:space="preserve"> </w:t>
      </w:r>
      <w:r>
        <w:t xml:space="preserve">(clock skew/freeze/monotonic injectors), BUGGIFY in</w:t>
      </w:r>
      <w:r>
        <w:t xml:space="preserve"> </w:t>
      </w:r>
      <w:r>
        <w:rPr>
          <w:rStyle w:val="VerbatimChar"/>
        </w:rPr>
        <w:t xml:space="preserve">testing/dst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phase7matrix</w:t>
      </w:r>
      <w:r>
        <w:t xml:space="preserve"> </w:t>
      </w:r>
      <w:r>
        <w:t xml:space="preserve">(gap-matrix verifier).</w:t>
      </w:r>
    </w:p>
    <w:p>
      <w:pPr>
        <w:pStyle w:val="Compact"/>
        <w:numPr>
          <w:ilvl w:val="1"/>
          <w:numId w:val="1004"/>
        </w:numPr>
      </w:pPr>
      <w:r>
        <w:t xml:space="preserve">This session (34 pure-Go units):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bursthysteresis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BurstController</w:t>
      </w:r>
      <w:r>
        <w:t xml:space="preserve"> </w:t>
      </w:r>
      <w:r>
        <w:t xml:space="preserve">with a MONITOR→SPILL→RECOVER two-threshold hysteresis dead-band (HXC-1504).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providerchain</w:t>
      </w:r>
      <w:r>
        <w:t xml:space="preserve"> </w:t>
      </w:r>
      <w:r>
        <w:t xml:space="preserve">— ordered multi-tier provider fallback cascade with retriable/terminal error classification and injected-clock failover SLA (HXC-1508).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gpucatalog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SUPPORTED_GPUS</w:t>
      </w:r>
      <w:r>
        <w:t xml:space="preserve"> </w:t>
      </w:r>
      <w:r>
        <w:t xml:space="preserve">compute-multiplier catalog,</w:t>
      </w:r>
      <w:r>
        <w:t xml:space="preserve"> </w:t>
      </w:r>
      <w:r>
        <w:rPr>
          <w:rStyle w:val="VerbatimChar"/>
        </w:rPr>
        <w:t xml:space="preserve">LookupMultiplier</w:t>
      </w:r>
      <w:r>
        <w:t xml:space="preserve">, and attestation-aware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(attested above un-attested) (HXC-1592).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gravaladmit</w:t>
      </w:r>
      <w:r>
        <w:t xml:space="preserve"> </w:t>
      </w:r>
      <w:r>
        <w:t xml:space="preserve">— HMAC-SHA256 GraVal challenge-response provider admission gate with single-use nonce and</w:t>
      </w:r>
      <w:r>
        <w:t xml:space="preserve"> </w:t>
      </w:r>
      <w:r>
        <w:rPr>
          <w:rStyle w:val="VerbatimChar"/>
        </w:rPr>
        <w:t xml:space="preserve">graval.verified</w:t>
      </w:r>
      <w:r>
        <w:t xml:space="preserve"> </w:t>
      </w:r>
      <w:r>
        <w:t xml:space="preserve">label (HXC-1523).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modelrouter</w:t>
      </w:r>
      <w:r>
        <w:t xml:space="preserve"> </w:t>
      </w:r>
      <w:r>
        <w:t xml:space="preserve">— strategy-to-default-model resolution (latency/throughput/quality/cost) with a typed unknown-strategy error (HXC-1430).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gravalverify</w:t>
      </w:r>
      <w:r>
        <w:t xml:space="preserve"> </w:t>
      </w:r>
      <w:r>
        <w:t xml:space="preserve">— GraVal GPU attestation with a VRAM-ratio</w:t>
      </w:r>
      <w:r>
        <w:t xml:space="preserve"> </w:t>
      </w:r>
      <w:r>
        <w:rPr>
          <w:rStyle w:val="VerbatimChar"/>
        </w:rPr>
        <w:t xml:space="preserve">&gt;= 0.95</w:t>
      </w:r>
      <w:r>
        <w:t xml:space="preserve"> </w:t>
      </w:r>
      <w:r>
        <w:t xml:space="preserve">gate and a concurrent, race-clean</w:t>
      </w:r>
      <w:r>
        <w:t xml:space="preserve"> </w:t>
      </w:r>
      <w:r>
        <w:rPr>
          <w:rStyle w:val="VerbatimChar"/>
        </w:rPr>
        <w:t xml:space="preserve">BatchVerify</w:t>
      </w:r>
      <w:r>
        <w:t xml:space="preserve"> </w:t>
      </w:r>
      <w:r>
        <w:t xml:space="preserve">pass-rate KPI (HXC-1435, HXC-1436).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gepetto</w:t>
      </w:r>
      <w:r>
        <w:t xml:space="preserve"> </w:t>
      </w:r>
      <w:r>
        <w:t xml:space="preserve">— HelixGepetto dual-resource local-vs-Chutes arbitration with a monotonic reserve schedule and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high-water anti-starvation zero-capacity cut-off (HXC-1446).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chutesaccount</w:t>
      </w:r>
      <w:r>
        <w:t xml:space="preserve"> </w:t>
      </w:r>
      <w:r>
        <w:t xml:space="preserve">— Chutes API model-list (TEE/price fields) and</w:t>
      </w:r>
      <w:r>
        <w:t xml:space="preserve"> </w:t>
      </w:r>
      <w:r>
        <w:rPr>
          <w:rStyle w:val="VerbatimChar"/>
        </w:rPr>
        <w:t xml:space="preserve">/users/me</w:t>
      </w:r>
      <w:r>
        <w:t xml:space="preserve"> </w:t>
      </w:r>
      <w:r>
        <w:t xml:space="preserve">account-balance client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(HXC-1429).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cmd/burst-controller</w:t>
      </w:r>
      <w:r>
        <w:t xml:space="preserve"> </w:t>
      </w:r>
      <w:r>
        <w:t xml:space="preserve">— utilization-driven binary driving</w:t>
      </w:r>
      <w:r>
        <w:t xml:space="preserve"> </w:t>
      </w:r>
      <w:r>
        <w:rPr>
          <w:rStyle w:val="VerbatimChar"/>
        </w:rPr>
        <w:t xml:space="preserve">bursthysteresis</w:t>
      </w:r>
      <w:r>
        <w:t xml:space="preserve">; emits a</w:t>
      </w:r>
      <w:r>
        <w:t xml:space="preserve"> </w:t>
      </w:r>
      <w:r>
        <w:t xml:space="preserve">“burst allocation request”</w:t>
      </w:r>
      <w:r>
        <w:t xml:space="preserve"> </w:t>
      </w:r>
      <w:r>
        <w:t xml:space="preserve">on SPILL and a RECOVER line, runID-stamped (HXC-1531).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tieredcache</w:t>
      </w:r>
      <w:r>
        <w:t xml:space="preserve"> </w:t>
      </w:r>
      <w:r>
        <w:t xml:space="preserve">— hot(memory)/warm(NVMe)/cold(SSD) tiered cache with injected backends + injected clock, idle-demotion + promotion, and per-tier hit stats (HXC-1418).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smartrouter</w:t>
      </w:r>
      <w:r>
        <w:t xml:space="preserve"> </w:t>
      </w:r>
      <w:r>
        <w:t xml:space="preserve">— intelligent ModelRouter (latency/throughput/cost/TEE/balanced) that always excludes unhealthy models, with a typed no-eligible-model error (HXC-1539).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epochresolve</w:t>
      </w:r>
      <w:r>
        <w:t xml:space="preserve"> </w:t>
      </w:r>
      <w:r>
        <w:t xml:space="preserve">— config-epoch failover slot-ownership conflict resolution (highest-epoch wins, deterministic lexicographic equal-epoch tiebreak, order-independent convergence) (HXC-1397).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balancemonitor</w:t>
      </w:r>
      <w:r>
        <w:t xml:space="preserve"> </w:t>
      </w:r>
      <w:r>
        <w:t xml:space="preserve">— USD account-balance monitor with a strict low-balance floor warning,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(HXC-1512).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scan</w:t>
      </w:r>
      <w:r>
        <w:t xml:space="preserve"> </w:t>
      </w:r>
      <w:r>
        <w:t xml:space="preserve">— Oracle-SCAN-style stable virtual client endpoint: least-loaded healthy-backend routing with a membership-stable name and injected clock (HXC-1403).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llmfailover</w:t>
      </w:r>
      <w:r>
        <w:t xml:space="preserve"> </w:t>
      </w:r>
      <w:r>
        <w:t xml:space="preserve">— error-classified LLM failover taxonomy (deterministic per-class fallback paths) plus a sandbox scheduling-hint contract (HXC-1600).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llmadapter</w:t>
      </w:r>
      <w:r>
        <w:t xml:space="preserve"> </w:t>
      </w:r>
      <w:r>
        <w:t xml:space="preserve">— Claude Messages / OpenAI Responses-API request and response shape adapters to OpenAI chat-completions, preserving tool-call order (HXC-1599).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deltacrdt</w:t>
      </w:r>
      <w:r>
        <w:t xml:space="preserve"> </w:t>
      </w:r>
      <w:r>
        <w:t xml:space="preserve">— standalone delta-state CRDTs (G-counter / PN-counter / observed-remove OR-set / LWW-map) with delta-mutators and a convergent (commutative/associative/idempotent) merge (HXC-1409).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gputopo</w:t>
      </w:r>
      <w:r>
        <w:t xml:space="preserve"> </w:t>
      </w:r>
      <w:r>
        <w:t xml:space="preserve">— topology-aware NUMA/NVLink GPU placement scoring that prefers NVLink-connected GPU pairs and falls back to PCIe (HXC-1406).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fsresidency</w:t>
      </w:r>
      <w:r>
        <w:t xml:space="preserve"> </w:t>
      </w:r>
      <w:r>
        <w:t xml:space="preserve">— filesystem residency challenge: per-byte-range</w:t>
      </w:r>
      <w:r>
        <w:t xml:space="preserve"> </w:t>
      </w:r>
      <w:r>
        <w:rPr>
          <w:rStyle w:val="VerbatimChar"/>
        </w:rPr>
        <w:t xml:space="preserve">ReadAt</w:t>
      </w:r>
      <w:r>
        <w:t xml:space="preserve"> </w:t>
      </w:r>
      <w:r>
        <w:t xml:space="preserve">+ SHA-256 verification proving a model file is really present on disk; truncated/missing/mismatch all fail (HXC-1572).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economics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RewardDistributor</w:t>
      </w:r>
      <w:r>
        <w:t xml:space="preserve"> </w:t>
      </w:r>
      <w:r>
        <w:t xml:space="preserve">multi-token distribution with treasury/reinvest splits and a conservation invariant (</w:t>
      </w:r>
      <w:r>
        <w:rPr>
          <w:rStyle w:val="VerbatimChar"/>
        </w:rPr>
        <w:t xml:space="preserve">sum(ledger)+treasury+reinvest == total</w:t>
      </w:r>
      <w:r>
        <w:t xml:space="preserve">), plus</w:t>
      </w:r>
      <w:r>
        <w:t xml:space="preserve"> </w:t>
      </w:r>
      <w:r>
        <w:rPr>
          <w:rStyle w:val="VerbatimChar"/>
        </w:rPr>
        <w:t xml:space="preserve">GetParticipantROI</w:t>
      </w:r>
      <w:r>
        <w:t xml:space="preserve"> </w:t>
      </w:r>
      <w:r>
        <w:t xml:space="preserve">(ROI% + break-even days, typed unknown-participant error) (HXC-1460, HXC-1461).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revenueopt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RevenueOptimizer.OptimizeAllocation</w:t>
      </w:r>
      <w:r>
        <w:t xml:space="preserve"> </w:t>
      </w:r>
      <w:r>
        <w:t xml:space="preserve">greedy GPU→marketplace assignment maximising expected revenue, with a TEE→Chutes revenue bias; self-contained types (HXC-1456).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exportcontrol</w:t>
      </w:r>
      <w:r>
        <w:t xml:space="preserve"> </w:t>
      </w:r>
      <w:r>
        <w:t xml:space="preserve">— export-control / country-code KYC gate: a controlled GPU (</w:t>
      </w:r>
      <w:r>
        <w:rPr>
          <w:rStyle w:val="VerbatimChar"/>
        </w:rPr>
        <w:t xml:space="preserve">H100</w:t>
      </w:r>
      <w:r>
        <w:t xml:space="preserve">/</w:t>
      </w:r>
      <w:r>
        <w:rPr>
          <w:rStyle w:val="VerbatimChar"/>
        </w:rPr>
        <w:t xml:space="preserve">A100</w:t>
      </w:r>
      <w:r>
        <w:t xml:space="preserve">) from a Tier-3 (embargoed) or unknown jurisdiction is rejected with</w:t>
      </w:r>
      <w:r>
        <w:t xml:space="preserve"> </w:t>
      </w:r>
      <w:r>
        <w:rPr>
          <w:rStyle w:val="VerbatimChar"/>
        </w:rPr>
        <w:t xml:space="preserve">ErrExportDenied</w:t>
      </w:r>
      <w:r>
        <w:t xml:space="preserve">; Tier-1 is allowed (HXC-1482).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devicecatalog</w:t>
      </w:r>
      <w:r>
        <w:t xml:space="preserve"> </w:t>
      </w:r>
      <w:r>
        <w:t xml:space="preserve">— machine-readable 64-device taxonomy with case-insensitive substring</w:t>
      </w:r>
      <w:r>
        <w:t xml:space="preserve"> </w:t>
      </w:r>
      <w:r>
        <w:rPr>
          <w:rStyle w:val="VerbatimChar"/>
        </w:rPr>
        <w:t xml:space="preserve">Lookup</w:t>
      </w:r>
      <w:r>
        <w:t xml:space="preserve"> </w:t>
      </w:r>
      <w:r>
        <w:t xml:space="preserve">resolving a discovered CPU model (e.g. </w:t>
      </w:r>
      <w:r>
        <w:rPr>
          <w:rStyle w:val="VerbatimChar"/>
        </w:rPr>
        <w:t xml:space="preserve">Rockchip RK3588</w:t>
      </w:r>
      <w:r>
        <w:t xml:space="preserve">) to its tier / trust-level / compute-class (HXC-1331).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compliancedoc</w:t>
      </w:r>
      <w:r>
        <w:t xml:space="preserve"> </w:t>
      </w:r>
      <w:r>
        <w:t xml:space="preserve">— EU AI Act compliance-documentation pipeline: generates a model card + technical-documentation artifact from attestation-log records, with a SHA-256 provenance hash bound to the actual record content (HXC-1481).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hybridkex</w:t>
      </w:r>
      <w:r>
        <w:t xml:space="preserve"> </w:t>
      </w:r>
      <w:r>
        <w:t xml:space="preserve">— hybrid post-quantum key exchange combining X25519 (</w:t>
      </w:r>
      <w:r>
        <w:rPr>
          <w:rStyle w:val="VerbatimChar"/>
        </w:rPr>
        <w:t xml:space="preserve">crypto/ecdh</w:t>
      </w:r>
      <w:r>
        <w:t xml:space="preserve">) and ML-KEM-768 (</w:t>
      </w:r>
      <w:r>
        <w:rPr>
          <w:rStyle w:val="VerbatimChar"/>
        </w:rPr>
        <w:t xml:space="preserve">crypto/mlkem</w:t>
      </w:r>
      <w:r>
        <w:t xml:space="preserve">) shared secrets via HKDF-SHA256 (group</w:t>
      </w:r>
      <w:r>
        <w:t xml:space="preserve"> </w:t>
      </w:r>
      <w:r>
        <w:rPr>
          <w:rStyle w:val="VerbatimChar"/>
        </w:rPr>
        <w:t xml:space="preserve">X25519MLKEM768</w:t>
      </w:r>
      <w:r>
        <w:t xml:space="preserve">); a tampered ML-KEM ciphertext yields a non-matching key (HXC-1476).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carbonsched</w:t>
      </w:r>
      <w:r>
        <w:t xml:space="preserve"> </w:t>
      </w:r>
      <w:r>
        <w:t xml:space="preserve">— carbon-aware job placement: chooses the lowest-carbon-intensity latency-eligible region (deterministic name tiebreak) with per-job kWh / gCO2 metering (HXC-1480).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gpuattest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multigpu.go</w:t>
      </w:r>
      <w:r>
        <w:t xml:space="preserve">) — multi-GPU node enumeration: an N-GPU node descriptor yields N distinct, independently-verifiable per-device attestation proofs keyed by GPU UUID; rejects duplicate/empty descriptors (HXC-1573).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workloadrouter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UnifiedManager.RouteWorkload</w:t>
      </w:r>
      <w:r>
        <w:t xml:space="preserve">: concurrent per-marketplace price probes + a weighted composite score (inverse price/latency, health) with a TEE multiplier that re-ranks confidential offers when the workload requires a TEE (HXC-1455).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TierMetrics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gpu_cost_per_hour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provider_health</w:t>
      </w:r>
      <w:r>
        <w:t xml:space="preserve"> </w:t>
      </w:r>
      <w:r>
        <w:t xml:space="preserve">Prometheus-text series with deterministic ordering and concurrent-safe setters (HXC-1535).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cmd/gpu-pool-manager</w:t>
      </w:r>
      <w:r>
        <w:t xml:space="preserve"> </w:t>
      </w:r>
      <w:r>
        <w:t xml:space="preserve">— GPU pool manager HTTP front-end:</w:t>
      </w:r>
      <w:r>
        <w:t xml:space="preserve"> </w:t>
      </w:r>
      <w:r>
        <w:rPr>
          <w:rStyle w:val="VerbatimChar"/>
        </w:rPr>
        <w:t xml:space="preserve">POST /allocate</w:t>
      </w:r>
      <w:r>
        <w:t xml:space="preserve"> </w:t>
      </w:r>
      <w:r>
        <w:t xml:space="preserve">returns the tier-correct (lowest-tier healthy, name tiebreak) provider as JSON (</w:t>
      </w:r>
      <w:r>
        <w:rPr>
          <w:rStyle w:val="VerbatimChar"/>
        </w:rPr>
        <w:t xml:space="preserve">503</w:t>
      </w:r>
      <w:r>
        <w:t xml:space="preserve"> </w:t>
      </w:r>
      <w:r>
        <w:t xml:space="preserve">when none healthy) and</w:t>
      </w:r>
      <w:r>
        <w:t xml:space="preserve"> </w:t>
      </w:r>
      <w:r>
        <w:rPr>
          <w:rStyle w:val="VerbatimChar"/>
        </w:rPr>
        <w:t xml:space="preserve">GET /providers</w:t>
      </w:r>
      <w:r>
        <w:t xml:space="preserve"> </w:t>
      </w:r>
      <w:r>
        <w:t xml:space="preserve">lists providers with health; httptest-gated, self-contained (HXC-1530).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MarketplaceAdapter</w:t>
      </w:r>
      <w:r>
        <w:t xml:space="preserve"> </w:t>
      </w:r>
      <w:r>
        <w:t xml:space="preserve">interface (</w:t>
      </w:r>
      <w:r>
        <w:rPr>
          <w:rStyle w:val="VerbatimChar"/>
        </w:rPr>
        <w:t xml:space="preserve">Name</w:t>
      </w:r>
      <w:r>
        <w:t xml:space="preserve">/</w:t>
      </w:r>
      <w:r>
        <w:rPr>
          <w:rStyle w:val="VerbatimChar"/>
        </w:rPr>
        <w:t xml:space="preserve">GetCurrentPricing</w:t>
      </w:r>
      <w:r>
        <w:t xml:space="preserve">/</w:t>
      </w:r>
      <w:r>
        <w:rPr>
          <w:rStyle w:val="VerbatimChar"/>
        </w:rPr>
        <w:t xml:space="preserve">SubmitWork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-keyed dispatch</w:t>
      </w:r>
      <w:r>
        <w:t xml:space="preserve"> </w:t>
      </w:r>
      <w:r>
        <w:rPr>
          <w:rStyle w:val="VerbatimChar"/>
        </w:rPr>
        <w:t xml:space="preserve">Registry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ChutesAdapter</w:t>
      </w:r>
      <w:r>
        <w:t xml:space="preserve"> </w:t>
      </w:r>
      <w:r>
        <w:t xml:space="preserve">over HTTP (httptest fixture, non-2xx rejected) (HXC-1454).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cmd/e2ee-proxy</w:t>
      </w:r>
      <w:r>
        <w:t xml:space="preserve"> </w:t>
      </w:r>
      <w:r>
        <w:t xml:space="preserve">— transparent ML-KEM-768 (</w:t>
      </w:r>
      <w:r>
        <w:rPr>
          <w:rStyle w:val="VerbatimChar"/>
        </w:rPr>
        <w:t xml:space="preserve">crypto/mlkem</w:t>
      </w:r>
      <w:r>
        <w:t xml:space="preserve">) + AES-256-GCM encrypting proxy:</w:t>
      </w:r>
      <w:r>
        <w:t xml:space="preserve"> </w:t>
      </w:r>
      <w:r>
        <w:rPr>
          <w:rStyle w:val="VerbatimChar"/>
        </w:rPr>
        <w:t xml:space="preserve">EncryptingTransport</w:t>
      </w:r>
      <w:r>
        <w:t xml:space="preserve"> </w:t>
      </w:r>
      <w:r>
        <w:t xml:space="preserve">seals request bodies and</w:t>
      </w:r>
      <w:r>
        <w:t xml:space="preserve"> </w:t>
      </w:r>
      <w:r>
        <w:rPr>
          <w:rStyle w:val="VerbatimChar"/>
        </w:rPr>
        <w:t xml:space="preserve">DecryptingHandler</w:t>
      </w:r>
      <w:r>
        <w:t xml:space="preserve"> </w:t>
      </w:r>
      <w:r>
        <w:t xml:space="preserve">opens them, so the on-wire payload between proxy and upstream is ciphertext-only while the client receives the correct plaintext; tampered ciphertext is rejected (HXC-1532).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e2eebench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MeasureHandshakeLatency</w:t>
      </w:r>
      <w:r>
        <w:t xml:space="preserve"> </w:t>
      </w:r>
      <w:r>
        <w:t xml:space="preserve">benchmarks the</w:t>
      </w:r>
      <w:r>
        <w:t xml:space="preserve"> </w:t>
      </w:r>
      <w:r>
        <w:rPr>
          <w:rStyle w:val="VerbatimChar"/>
        </w:rPr>
        <w:t xml:space="preserve">hybridkex</w:t>
      </w:r>
      <w:r>
        <w:t xml:space="preserve"> </w:t>
      </w:r>
      <w:r>
        <w:t xml:space="preserve">full handshake (median + P95), proving median &lt; 1ms on host and enforcing per-iteration key agreement (</w:t>
      </w:r>
      <w:r>
        <w:rPr>
          <w:rStyle w:val="VerbatimChar"/>
        </w:rPr>
        <w:t xml:space="preserve">ErrKeyDisagreement</w:t>
      </w:r>
      <w:r>
        <w:t xml:space="preserve">) (HXC-1556).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archlint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 </w:t>
      </w:r>
      <w:r>
        <w:t xml:space="preserve">— the hardened L0–L7 architecture diagram and component map, mechanically enforced:</w:t>
      </w:r>
      <w:r>
        <w:t xml:space="preserve"> </w:t>
      </w:r>
      <w:r>
        <w:rPr>
          <w:rStyle w:val="VerbatimChar"/>
        </w:rPr>
        <w:t xml:space="preserve">archlint</w:t>
      </w:r>
      <w:r>
        <w:t xml:space="preserve"> </w:t>
      </w:r>
      <w:r>
        <w:t xml:space="preserve">parses the component-map table and fails the build if any documented component maps to a package path that does not exist on disk (HXC-1424).</w:t>
      </w:r>
    </w:p>
    <w:p>
      <w:pPr>
        <w:pStyle w:val="Compact"/>
        <w:numPr>
          <w:ilvl w:val="1"/>
          <w:numId w:val="1004"/>
        </w:numPr>
      </w:pPr>
      <w:r>
        <w:t xml:space="preserve">Wave 67 (5 units, subagent-driven, 5 parallel streams in disjoint packages):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MultiRaftManager</w:t>
      </w:r>
      <w:r>
        <w:t xml:space="preserve"> </w:t>
      </w:r>
      <w:r>
        <w:t xml:space="preserve">partitioning cluster state into independent per-shard</w:t>
      </w:r>
      <w:r>
        <w:t xml:space="preserve"> </w:t>
      </w:r>
      <w:r>
        <w:rPr>
          <w:rStyle w:val="VerbatimChar"/>
        </w:rPr>
        <w:t xml:space="preserve">go.etcd.io/raft/v3</w:t>
      </w:r>
      <w:r>
        <w:t xml:space="preserve"> </w:t>
      </w:r>
      <w:r>
        <w:t xml:space="preserve">groups, each electing its own leader and committing independently via per-shard</w:t>
      </w:r>
      <w:r>
        <w:t xml:space="preserve"> </w:t>
      </w:r>
      <w:r>
        <w:rPr>
          <w:rStyle w:val="VerbatimChar"/>
        </w:rPr>
        <w:t xml:space="preserve">Propose</w:t>
      </w:r>
      <w:r>
        <w:t xml:space="preserve"> </w:t>
      </w:r>
      <w:r>
        <w:t xml:space="preserve">routing over an in-process</w:t>
      </w:r>
      <w:r>
        <w:t xml:space="preserve"> </w:t>
      </w:r>
      <w:r>
        <w:rPr>
          <w:rStyle w:val="VerbatimChar"/>
        </w:rPr>
        <w:t xml:space="preserve">RaftTransport</w:t>
      </w:r>
      <w:r>
        <w:t xml:space="preserve">; write throughput scales with shard count and a shard re-elects on leader loss while others keep committing (HXC-1387).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STONITH fencing: a</w:t>
      </w:r>
      <w:r>
        <w:t xml:space="preserve"> </w:t>
      </w:r>
      <w:r>
        <w:rPr>
          <w:rStyle w:val="VerbatimChar"/>
        </w:rPr>
        <w:t xml:space="preserve">FencingAgent</w:t>
      </w:r>
      <w:r>
        <w:t xml:space="preserve"> </w:t>
      </w:r>
      <w:r>
        <w:t xml:space="preserve">interface with IPMI / AWS-EC2 / Azure-ARM / SBD-shared-disk / NoOp drivers and a</w:t>
      </w:r>
      <w:r>
        <w:t xml:space="preserve"> </w:t>
      </w:r>
      <w:r>
        <w:rPr>
          <w:rStyle w:val="VerbatimChar"/>
        </w:rPr>
        <w:t xml:space="preserve">MultiLevelFencer</w:t>
      </w:r>
      <w:r>
        <w:t xml:space="preserve"> </w:t>
      </w:r>
      <w:r>
        <w:t xml:space="preserve">multi-level fallback, with sink-side fence confirmation; the IPMI real-binary path is an honest SKIP-with-reason when</w:t>
      </w:r>
      <w:r>
        <w:t xml:space="preserve"> </w:t>
      </w:r>
      <w:r>
        <w:rPr>
          <w:rStyle w:val="VerbatimChar"/>
        </w:rPr>
        <w:t xml:space="preserve">ipmitool</w:t>
      </w:r>
      <w:r>
        <w:t xml:space="preserve"> </w:t>
      </w:r>
      <w:r>
        <w:t xml:space="preserve">is absent (HXC-1401).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Nomad/K8s-style gRPC device-plugin / GRES fingerprinting framework over real gRPC: plugins register full device fingerprints, the registry parses GRES descriptors, atomically applies fingerprints, allocates by request, and rejects oversubscription (HXC-1407).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manager_helixpow.go</w:t>
      </w:r>
      <w:r>
        <w:t xml:space="preserve">) — dual-workload capacity reservation:</w:t>
      </w:r>
      <w:r>
        <w:t xml:space="preserve"> </w:t>
      </w:r>
      <w:r>
        <w:rPr>
          <w:rStyle w:val="VerbatimChar"/>
        </w:rPr>
        <w:t xml:space="preserve">ReserveForHelixPoW(fraction)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ChutesCapacity()</w:t>
      </w:r>
      <w:r>
        <w:t xml:space="preserve"> </w:t>
      </w:r>
      <w:r>
        <w:t xml:space="preserve">reporting only the non-reserved remainder, with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Helix-load Gepetto starvation guard that zeroes Chutes capacity (HXC-1447).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config.go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ChutesMinerConfig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ValidatorConfig</w:t>
      </w:r>
      <w:r>
        <w:t xml:space="preserve"> </w:t>
      </w:r>
      <w:r>
        <w:t xml:space="preserve">deployment descriptors with</w:t>
      </w:r>
      <w:r>
        <w:t xml:space="preserve"> </w:t>
      </w:r>
      <w:r>
        <w:rPr>
          <w:rStyle w:val="VerbatimChar"/>
        </w:rPr>
        <w:t xml:space="preserve">Validate()</w:t>
      </w:r>
      <w:r>
        <w:t xml:space="preserve"> </w:t>
      </w:r>
      <w:r>
        <w:t xml:space="preserve">invariants (non-empty IDs/hotkeys,</w:t>
      </w:r>
      <w:r>
        <w:t xml:space="preserve"> </w:t>
      </w:r>
      <w:r>
        <w:rPr>
          <w:rStyle w:val="VerbatimChar"/>
        </w:rPr>
        <w:t xml:space="preserve">GPUCount&gt;0</w:t>
      </w:r>
      <w:r>
        <w:t xml:space="preserve">, non-negative cost, positive cache size, TEE consistency) (HXC-1439).</w:t>
      </w:r>
    </w:p>
    <w:p>
      <w:pPr>
        <w:pStyle w:val="Compact"/>
        <w:numPr>
          <w:ilvl w:val="1"/>
          <w:numId w:val="1004"/>
        </w:numPr>
      </w:pPr>
      <w:r>
        <w:t xml:space="preserve">Wave 68 (5 units, subagent-driven, 5 parallel streams in disjoint packages, run concurrently with wave 69):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dst</w:t>
      </w:r>
      <w:r>
        <w:t xml:space="preserve"> </w:t>
      </w:r>
      <w:r>
        <w:t xml:space="preserve">— standalone FoundationDB-style deterministic simulation harness: single-threaded seeded-RNG event loop with injectable network/disk/logical-clock; same seed =&gt; byte-for-byte identical trace + exact failure replay; 1000+ seeded sims (HXC-1419).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self-contained WGL linearizability checker + concurrent history recorder: PASS on linearizable, FAIL (with violating op) on a seeded non-linearizable history (HXC-1421).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 KRaft-style self-managed Raft metadata quorum (</w:t>
      </w:r>
      <w:r>
        <w:rPr>
          <w:rStyle w:val="VerbatimChar"/>
        </w:rPr>
        <w:t xml:space="preserve">go.etcd.io/raft/v3</w:t>
      </w:r>
      <w:r>
        <w:t xml:space="preserve">, no ZooKeeper): replicated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/</w:t>
      </w:r>
      <w:r>
        <w:rPr>
          <w:rStyle w:val="VerbatimChar"/>
        </w:rPr>
        <w:t xml:space="preserve">ListTopics</w:t>
      </w:r>
      <w:r>
        <w:t xml:space="preserve"> </w:t>
      </w:r>
      <w:r>
        <w:t xml:space="preserve">+ partition-leader assignment, controller election + controller-loss failover (HXC-1417).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internal/chaos</w:t>
      </w:r>
      <w:r>
        <w:t xml:space="preserve"> </w:t>
      </w:r>
      <w:r>
        <w:t xml:space="preserve">— fault-injection library (PodKill/NetworkPartition/DiskStall/ClockSkew) + canary-guarded runner with automatic rollback on health&lt;SLO; deterministic via injected clock + seeded selection (HXC-1422).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lease.go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LeaseTracker</w:t>
      </w:r>
      <w:r>
        <w:t xml:space="preserve"> </w:t>
      </w:r>
      <w:r>
        <w:t xml:space="preserve">CockroachDB-style leaseholder local reads (no Raft round-trip), follower routing via</w:t>
      </w:r>
      <w:r>
        <w:t xml:space="preserve"> </w:t>
      </w:r>
      <w:r>
        <w:rPr>
          <w:rStyle w:val="VerbatimChar"/>
        </w:rPr>
        <w:t xml:space="preserve">RaftTransport.SendRead</w:t>
      </w:r>
      <w:r>
        <w:t xml:space="preserve">, lease-expiry re-route against an injected clock (HXC-1389).</w:t>
      </w:r>
    </w:p>
    <w:p>
      <w:pPr>
        <w:pStyle w:val="Compact"/>
        <w:numPr>
          <w:ilvl w:val="1"/>
          <w:numId w:val="1004"/>
        </w:numPr>
      </w:pPr>
      <w:r>
        <w:t xml:space="preserve">Wave 69 (5 units, subagent-driven, 5 parallel streams in disjoint packages, run concurrently with wave 68):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IPMI credential hardening: BMC password delivered via the</w:t>
      </w:r>
      <w:r>
        <w:t xml:space="preserve"> </w:t>
      </w:r>
      <w:r>
        <w:rPr>
          <w:rStyle w:val="VerbatimChar"/>
        </w:rPr>
        <w:t xml:space="preserve">IPMI_PASSWORD</w:t>
      </w:r>
      <w:r>
        <w:t xml:space="preserve"> </w:t>
      </w:r>
      <w:r>
        <w:t xml:space="preserve">env +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(never on the argv / process table) with redacted argv in error strings; tests assert the password appears in neither argv nor errors (HXC-908, closing a wave-67 follow-up).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concurrency test driving</w:t>
      </w:r>
      <w:r>
        <w:t xml:space="preserve"> </w:t>
      </w:r>
      <w:r>
        <w:rPr>
          <w:rStyle w:val="VerbatimChar"/>
        </w:rPr>
        <w:t xml:space="preserve">ApplyFingerprint</w:t>
      </w:r>
      <w:r>
        <w:t xml:space="preserve">/</w:t>
      </w:r>
      <w:r>
        <w:rPr>
          <w:rStyle w:val="VerbatimChar"/>
        </w:rPr>
        <w:t xml:space="preserve">Allocate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from 50+ goroutines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, proving the Registry never oversubscribes (mutex removal trips the race detector) (HXC-910, closing a wave-67 follow-up).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internal/llm</w:t>
      </w:r>
      <w:r>
        <w:t xml:space="preserve"> </w:t>
      </w:r>
      <w:r>
        <w:t xml:space="preserve">— replaced the stub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with a real strategy-based router (latency/throughput/quality/cost) over the live model registry, excluding unhealthy/unloaded models with a typed no-eligible-model error and a real injectable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seam (HXC-1470).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earningsmetrics.go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EarningsMetrics</w:t>
      </w:r>
      <w:r>
        <w:t xml:space="preserve"> </w:t>
      </w:r>
      <w:r>
        <w:t xml:space="preserve">exposing</w:t>
      </w:r>
      <w:r>
        <w:t xml:space="preserve"> </w:t>
      </w:r>
      <w:r>
        <w:rPr>
          <w:rStyle w:val="VerbatimChar"/>
        </w:rPr>
        <w:t xml:space="preserve">tao_earnings_total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graval_attestation_status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token_throughput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gpu_utilization</w:t>
      </w:r>
      <w:r>
        <w:t xml:space="preserve"> </w:t>
      </w:r>
      <w:r>
        <w:t xml:space="preserve">Prometheus-text series with deterministic (sorted) ordering + concurrent-safe setters (HXC-1483).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attesthook.go</w:t>
      </w:r>
      <w:r>
        <w:t xml:space="preserve">) — GraVal attestation hook:</w:t>
      </w:r>
      <w:r>
        <w:t xml:space="preserve"> </w:t>
      </w:r>
      <w:r>
        <w:rPr>
          <w:rStyle w:val="VerbatimChar"/>
        </w:rPr>
        <w:t xml:space="preserve">AllocateForChutes</w:t>
      </w:r>
      <w:r>
        <w:t xml:space="preserve"> </w:t>
      </w:r>
      <w:r>
        <w:t xml:space="preserve">refuses a GPU that has not passed attestation (</w:t>
      </w:r>
      <w:r>
        <w:rPr>
          <w:rStyle w:val="VerbatimChar"/>
        </w:rPr>
        <w:t xml:space="preserve">ErrAttestationRequired</w:t>
      </w:r>
      <w:r>
        <w:t xml:space="preserve">), even on the idempotent re-allocation path; injectable</w:t>
      </w:r>
      <w:r>
        <w:t xml:space="preserve"> </w:t>
      </w:r>
      <w:r>
        <w:rPr>
          <w:rStyle w:val="VerbatimChar"/>
        </w:rPr>
        <w:t xml:space="preserve">ChutesAttestor</w:t>
      </w:r>
      <w:r>
        <w:t xml:space="preserve"> </w:t>
      </w:r>
      <w:r>
        <w:t xml:space="preserve">seam (HXC-1448).</w:t>
      </w:r>
    </w:p>
    <w:p>
      <w:pPr>
        <w:pStyle w:val="Compact"/>
        <w:numPr>
          <w:ilvl w:val="1"/>
          <w:numId w:val="1004"/>
        </w:numPr>
      </w:pPr>
      <w:r>
        <w:t xml:space="preserve">Wave 70 (5 units, subagent-driven, 5 parallel streams in disjoint packages, run concurrently with wave 71):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provider/chutes</w:t>
      </w:r>
      <w:r>
        <w:t xml:space="preserve"> </w:t>
      </w:r>
      <w:r>
        <w:t xml:space="preserve">— OpenAI-compatible</w:t>
      </w:r>
      <w:r>
        <w:t xml:space="preserve"> </w:t>
      </w:r>
      <w:r>
        <w:rPr>
          <w:rStyle w:val="VerbatimChar"/>
        </w:rPr>
        <w:t xml:space="preserve">/v1/chat/completions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cpk_</w:t>
      </w:r>
      <w:r>
        <w:t xml:space="preserve"> </w:t>
      </w:r>
      <w:r>
        <w:t xml:space="preserve">Bearer) with HTTP-429 retry+backoff; httptest proves retry-then-success, Bearer header, and typed errors (HXC-1510).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pool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model.go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GPUDevice</w:t>
      </w:r>
      <w:r>
        <w:t xml:space="preserve">/</w:t>
      </w:r>
      <w:r>
        <w:rPr>
          <w:rStyle w:val="VerbatimChar"/>
        </w:rPr>
        <w:t xml:space="preserve">WorkloadSpec</w:t>
      </w:r>
      <w:r>
        <w:t xml:space="preserve">/</w:t>
      </w:r>
      <w:r>
        <w:rPr>
          <w:rStyle w:val="VerbatimChar"/>
        </w:rPr>
        <w:t xml:space="preserve">GPUAllocation</w:t>
      </w:r>
      <w:r>
        <w:t xml:space="preserve">/</w:t>
      </w:r>
      <w:r>
        <w:rPr>
          <w:rStyle w:val="VerbatimChar"/>
        </w:rPr>
        <w:t xml:space="preserve">PoolStatus</w:t>
      </w:r>
      <w:r>
        <w:t xml:space="preserve"> </w:t>
      </w:r>
      <w:r>
        <w:t xml:space="preserve">data model with snake_case JSON tags + round-trip/concurrency tests (HXC-1495).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quantization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awq.go</w:t>
      </w:r>
      <w:r>
        <w:t xml:space="preserve">) — AWQ 4-bit default serving format +</w:t>
      </w:r>
      <w:r>
        <w:t xml:space="preserve"> </w:t>
      </w:r>
      <w:r>
        <w:rPr>
          <w:rStyle w:val="VerbatimChar"/>
        </w:rPr>
        <w:t xml:space="preserve">EstimateVRAM</w:t>
      </w:r>
      <w:r>
        <w:t xml:space="preserve"> </w:t>
      </w:r>
      <w:r>
        <w:t xml:space="preserve">(~25% of fp16) + budget-aware</w:t>
      </w:r>
      <w:r>
        <w:t xml:space="preserve"> </w:t>
      </w:r>
      <w:r>
        <w:rPr>
          <w:rStyle w:val="VerbatimChar"/>
        </w:rPr>
        <w:t xml:space="preserve">SelectFormat</w:t>
      </w:r>
      <w:r>
        <w:t xml:space="preserve"> </w:t>
      </w:r>
      <w:r>
        <w:t xml:space="preserve">preferring AWQ when fp16 won’t fit (HXC-1473).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internal/gateway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inference.go</w:t>
      </w:r>
      <w:r>
        <w:t xml:space="preserve">) — inference route forwarding to an injectable Chutes client;</w:t>
      </w:r>
      <w:r>
        <w:t xml:space="preserve"> </w:t>
      </w:r>
      <w:r>
        <w:rPr>
          <w:rStyle w:val="VerbatimChar"/>
        </w:rPr>
        <w:t xml:space="preserve">TEERequired</w:t>
      </w:r>
      <w:r>
        <w:t xml:space="preserve"> </w:t>
      </w:r>
      <w:r>
        <w:t xml:space="preserve">=&gt;</w:t>
      </w:r>
      <w:r>
        <w:t xml:space="preserve"> </w:t>
      </w:r>
      <w:r>
        <w:rPr>
          <w:rStyle w:val="VerbatimChar"/>
        </w:rPr>
        <w:t xml:space="preserve">X-E2EE-Enabled</w:t>
      </w:r>
      <w:r>
        <w:t xml:space="preserve"> </w:t>
      </w:r>
      <w:r>
        <w:t xml:space="preserve">routing marker; client failure =&gt; 502 (HXC-1469).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mig.go</w:t>
      </w:r>
      <w:r>
        <w:t xml:space="preserve">) — MIG profile management: standardized vGPU tiers (1g.10gb/2g.20gb/3g.40gb/7g.80gb), in-memory partitioning with oversubscription rejection + fixed-at-creation immutability (HXC-1449).</w:t>
      </w:r>
    </w:p>
    <w:p>
      <w:pPr>
        <w:pStyle w:val="Compact"/>
        <w:numPr>
          <w:ilvl w:val="1"/>
          <w:numId w:val="1004"/>
        </w:numPr>
      </w:pPr>
      <w:r>
        <w:t xml:space="preserve">Wave 71 (5 units, subagent-driven, 5 parallel streams in disjoint packages, run concurrently with wave 70; closes 4 prior follow-ups):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 RaftTransport async-delivery safety: inbox handler Steps under the shard mutex, outbound messages deferred + flushed after unlock; a new async-transport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test proves a goroutine-delivering transport is race-free and still commits (HXC-909).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ErrTopicExists</w:t>
      </w:r>
      <w:r>
        <w:t xml:space="preserve"> </w:t>
      </w:r>
      <w:r>
        <w:t xml:space="preserve">on a conflicting re-create (different partition count); identical re-create stays idempotent (HXC-912).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WGL state-dedup memoization via</w:t>
      </w:r>
      <w:r>
        <w:t xml:space="preserve"> </w:t>
      </w:r>
      <w:r>
        <w:rPr>
          <w:rStyle w:val="VerbatimChar"/>
        </w:rPr>
        <w:t xml:space="preserve">Model.Equal</w:t>
      </w:r>
      <w:r>
        <w:t xml:space="preserve">: verdict-preserving pruning (memo fires on backtracking histories; identical PASS/FAIL + witness vs</w:t>
      </w:r>
      <w:r>
        <w:t xml:space="preserve"> </w:t>
      </w:r>
      <w:r>
        <w:rPr>
          <w:rStyle w:val="VerbatimChar"/>
        </w:rPr>
        <w:t xml:space="preserve">Equal==nil</w:t>
      </w:r>
      <w:r>
        <w:t xml:space="preserve">) (HXC-913).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StreamChannel</w:t>
      </w:r>
      <w:r>
        <w:t xml:space="preserve"> </w:t>
      </w:r>
      <w:r>
        <w:t xml:space="preserve">honors ctx cancellation on a blocked read (prompt channel close, no goroutine leak) and closes the owned reader (HXC-911).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akash.go</w:t>
      </w:r>
      <w:r>
        <w:t xml:space="preserve">) — Akash (Cosmos/AKT) adapter over an injectable client: reverse-auction pricing, SDL submission, provider-reputation gate, registered in the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-dispatch Registry (HXC-1458).</w:t>
      </w:r>
    </w:p>
    <w:p>
      <w:pPr>
        <w:pStyle w:val="Compact"/>
        <w:numPr>
          <w:ilvl w:val="1"/>
          <w:numId w:val="1004"/>
        </w:numPr>
      </w:pPr>
      <w:r>
        <w:t xml:space="preserve">Wave 72 (5 units, subagent-driven, 5 parallel streams in disjoint packages):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provider/runpod</w:t>
      </w:r>
      <w:r>
        <w:t xml:space="preserve"> </w:t>
      </w:r>
      <w:r>
        <w:t xml:space="preserve">— RunPodProvider (implements</w:t>
      </w:r>
      <w:r>
        <w:t xml:space="preserve"> </w:t>
      </w:r>
      <w:r>
        <w:rPr>
          <w:rStyle w:val="VerbatimChar"/>
        </w:rPr>
        <w:t xml:space="preserve">pool.GPUProvider</w:t>
      </w:r>
      <w:r>
        <w:t xml:space="preserve">) with a warm-pool fast path over an injectable client (HXC-1515).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provider/aws</w:t>
      </w:r>
      <w:r>
        <w:t xml:space="preserve"> </w:t>
      </w:r>
      <w:r>
        <w:t xml:space="preserve">— AWSProvider EC2 Spot adapter over an injectable EC2-client interface (no aws-sdk dep): GPU model→instance-type selection (p5/p4de/g5), Spot+tags, TOCTOU-safe capacity gate (HXC-1516).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scheduler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tier_filter.go</w:t>
      </w:r>
      <w:r>
        <w:t xml:space="preserve">) — GPUTier-aware filter predicate: hard-exclude disallowed tiers + preference scoring, composes with the existing count filter, fails closed on a nil predicate (HXC-1534).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provider/chutes</w:t>
      </w:r>
      <w:r>
        <w:t xml:space="preserve"> </w:t>
      </w:r>
      <w:r>
        <w:t xml:space="preserve">— ctx-interruptible 429 backoff (select vs</w:t>
      </w:r>
      <w:r>
        <w:t xml:space="preserve"> </w:t>
      </w:r>
      <w:r>
        <w:rPr>
          <w:rStyle w:val="VerbatimChar"/>
        </w:rPr>
        <w:t xml:space="preserve">ctx.Done()</w:t>
      </w:r>
      <w:r>
        <w:t xml:space="preserve">) + honors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(delta-seconds/HTTP-date,</w:t>
      </w:r>
      <w:r>
        <w:t xml:space="preserve"> </w:t>
      </w:r>
      <w:r>
        <w:rPr>
          <w:rStyle w:val="VerbatimChar"/>
        </w:rPr>
        <w:t xml:space="preserve">max(hint,backoff)</w:t>
      </w:r>
      <w:r>
        <w:t xml:space="preserve">) (HXC-916, closing a wave-70 follow-up).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grafanadash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tiercost_dash.go</w:t>
      </w:r>
      <w:r>
        <w:t xml:space="preserve">) — Phase-8B tier-utilization + cost dashboard generator (panels target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/</w:t>
      </w:r>
      <w:r>
        <w:rPr>
          <w:rStyle w:val="VerbatimChar"/>
        </w:rPr>
        <w:t xml:space="preserve">gpu_cost_per_hour</w:t>
      </w:r>
      <w:r>
        <w:t xml:space="preserve">), valid + deterministic (HXC-1551).</w:t>
      </w:r>
    </w:p>
    <w:p>
      <w:pPr>
        <w:pStyle w:val="Compact"/>
        <w:numPr>
          <w:ilvl w:val="1"/>
          <w:numId w:val="1004"/>
        </w:numPr>
      </w:pPr>
      <w:r>
        <w:t xml:space="preserve">Wave 73 (5 units, subagent-driven, 5 parallel streams in disjoint packages; impl→spec-review→quality-review + independent build/vet/-race/mutation gate):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provider/ionet</w:t>
      </w:r>
      <w:r>
        <w:t xml:space="preserve"> </w:t>
      </w:r>
      <w:r>
        <w:t xml:space="preserve">— IONetProvider over the io.net REST API (implements</w:t>
      </w:r>
      <w:r>
        <w:t xml:space="preserve"> </w:t>
      </w:r>
      <w:r>
        <w:rPr>
          <w:rStyle w:val="VerbatimChar"/>
        </w:rPr>
        <w:t xml:space="preserve">pool.GPUProvider</w:t>
      </w:r>
      <w:r>
        <w:t xml:space="preserve">, injectable base URL +</w:t>
      </w:r>
      <w:r>
        <w:t xml:space="preserve"> </w:t>
      </w:r>
      <w:r>
        <w:rPr>
          <w:rStyle w:val="VerbatimChar"/>
        </w:rPr>
        <w:t xml:space="preserve">*http.Client</w:t>
      </w:r>
      <w:r>
        <w:t xml:space="preserve"> </w:t>
      </w:r>
      <w:r>
        <w:t xml:space="preserve">+ bearer):</w:t>
      </w:r>
      <w:r>
        <w:t xml:space="preserve"> </w:t>
      </w:r>
      <w:r>
        <w:rPr>
          <w:rStyle w:val="VerbatimChar"/>
        </w:rPr>
        <w:t xml:space="preserve">DeployCluster</w:t>
      </w:r>
      <w:r>
        <w:t xml:space="preserve"> </w:t>
      </w:r>
      <w:r>
        <w:t xml:space="preserve">returns the backend-minted cluster run-UUID (parsed, never fabricated),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derives healthy state, concurrency-safe reserve-under-lock capacity gate; closure proven against a</w:t>
      </w:r>
      <w:r>
        <w:t xml:space="preserve"> </w:t>
      </w:r>
      <w:r>
        <w:rPr>
          <w:rStyle w:val="VerbatimChar"/>
        </w:rPr>
        <w:t xml:space="preserve">net/http/httptest</w:t>
      </w:r>
      <w:r>
        <w:t xml:space="preserve"> </w:t>
      </w:r>
      <w:r>
        <w:t xml:space="preserve">io.net backend (HXC-1514).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gitops</w:t>
      </w:r>
      <w:r>
        <w:t xml:space="preserve"> </w:t>
      </w:r>
      <w:r>
        <w:t xml:space="preserve">— ArgoCD ApplicationSet federation client: matrix generator expands one Application per cell,</w:t>
      </w:r>
      <w:r>
        <w:t xml:space="preserve"> </w:t>
      </w:r>
      <w:r>
        <w:rPr>
          <w:rStyle w:val="VerbatimChar"/>
        </w:rPr>
        <w:t xml:space="preserve">syncPolicy</w:t>
      </w:r>
      <w:r>
        <w:t xml:space="preserve"> </w:t>
      </w:r>
      <w:r>
        <w:t xml:space="preserve">prune+selfHeal, RollingSync canary→tier-2 (50%)→tier-1 (25%) ordering, drift/prune detection; logic proven vs an httptest ArgoCD, strictly-live UI capture honestly skipped (follow-up HXC-922) (HXC-1367).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internal/federation</w:t>
      </w:r>
      <w:r>
        <w:t xml:space="preserve"> </w:t>
      </w:r>
      <w:r>
        <w:t xml:space="preserve">— Karmada PropagationPolicy + OverridePolicy engine (CRs modeled as Go structs → YAML, no client-go dep) with constraint-aware (data-locality/latency/cost/compliance) two-level cell selection and failover reselect; deterministic failover proven via in-process FakeHub, live Karmada &lt;60s capture honestly skipped (follow-up HXC-924) (HXC-1364).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health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miner.go</w:t>
      </w:r>
      <w:r>
        <w:t xml:space="preserve">) — miner-api + GraVal bootstrap DaemonSet dependency checks wired into the health rollup, naming the specific failing check; healthy→unhealthy delta proven against an httptest miner-api (HXC-1484).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discovery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mdns.go</w:t>
      </w:r>
      <w:r>
        <w:t xml:space="preserve">) — mDNS/DNS-SD advertiser+browser on</w:t>
      </w:r>
      <w:r>
        <w:t xml:space="preserve"> </w:t>
      </w:r>
      <w:r>
        <w:rPr>
          <w:rStyle w:val="VerbatimChar"/>
        </w:rPr>
        <w:t xml:space="preserve">_helix-cluster._tcp</w:t>
      </w:r>
      <w:r>
        <w:t xml:space="preserve"> </w:t>
      </w:r>
      <w:r>
        <w:t xml:space="preserve">(stdlib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x/net/dnsmessage</w:t>
      </w:r>
      <w:r>
        <w:t xml:space="preserve">): TXT encode/decode + reject-invalid + in-process loopback discovery; real-multicast two-node LAN capture sandbox-skipped (follow-up HXC-925); discovery-only (trust via SPIFFE) (HXC-1347).</w:t>
      </w:r>
    </w:p>
    <w:p>
      <w:pPr>
        <w:pStyle w:val="Compact"/>
        <w:numPr>
          <w:ilvl w:val="2"/>
          <w:numId w:val="1012"/>
        </w:numPr>
      </w:pPr>
      <w:r>
        <w:t xml:space="preserve">Reconciled stale P0</w:t>
      </w:r>
      <w:r>
        <w:t xml:space="preserve"> </w:t>
      </w:r>
      <w:r>
        <w:rPr>
          <w:rStyle w:val="VerbatimChar"/>
        </w:rPr>
        <w:t xml:space="preserve">HXC-904</w:t>
      </w:r>
      <w:r>
        <w:t xml:space="preserve"> </w:t>
      </w:r>
      <w:r>
        <w:t xml:space="preserve">Phase-4 Build Service: delivered podman-based multi-arch container build orchestration + artifact cache (</w:t>
      </w:r>
      <w:r>
        <w:rPr>
          <w:rStyle w:val="VerbatimChar"/>
        </w:rPr>
        <w:t xml:space="preserve">internal/build</w:t>
      </w:r>
      <w:r>
        <w:t xml:space="preserve">/</w:t>
      </w:r>
      <w:r>
        <w:rPr>
          <w:rStyle w:val="VerbatimChar"/>
        </w:rPr>
        <w:t xml:space="preserve">pkg/build</w:t>
      </w:r>
      <w:r>
        <w:t xml:space="preserve">/</w:t>
      </w:r>
      <w:r>
        <w:rPr>
          <w:rStyle w:val="VerbatimChar"/>
        </w:rPr>
        <w:t xml:space="preserve">cmd/helix-build</w:t>
      </w:r>
      <w:r>
        <w:t xml:space="preserve">, green) marked Completed; Bazel REAPI interop split to follow-up HXC-921.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fix (HIGH):</w:t>
      </w:r>
      <w:r>
        <w:t xml:space="preserve"> </w:t>
      </w:r>
      <w:r>
        <w:t xml:space="preserve">closed a TOCTOU replay-bypass in</w:t>
      </w:r>
      <w:r>
        <w:t xml:space="preserve"> </w:t>
      </w:r>
      <w:r>
        <w:rPr>
          <w:rStyle w:val="VerbatimChar"/>
        </w:rPr>
        <w:t xml:space="preserve">pkg/gpuattest.Verify</w:t>
      </w:r>
      <w:r>
        <w:t xml:space="preserve"> </w:t>
      </w:r>
      <w:r>
        <w:t xml:space="preserve">— the nonce check and consume are now atomic, with a concurrent-replay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regression test.</w:t>
      </w:r>
    </w:p>
    <w:p>
      <w:pPr>
        <w:pStyle w:val="Compact"/>
        <w:numPr>
          <w:ilvl w:val="0"/>
          <w:numId w:val="1001"/>
        </w:numPr>
      </w:pPr>
      <w:r>
        <w:t xml:space="preserve">Every foundation package ships with tests that fail under mutation of the logic they cover (CLAUDE-1 enforcement) and are gated by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Initial project scaffold with Go workspace.</w:t>
      </w:r>
    </w:p>
    <w:p>
      <w:pPr>
        <w:pStyle w:val="Compact"/>
        <w:numPr>
          <w:ilvl w:val="0"/>
          <w:numId w:val="1001"/>
        </w:numPr>
      </w:pPr>
      <w:r>
        <w:t xml:space="preserve">29 submodules integrated at project root.</w:t>
      </w:r>
    </w:p>
    <w:p>
      <w:pPr>
        <w:pStyle w:val="Compact"/>
        <w:numPr>
          <w:ilvl w:val="0"/>
          <w:numId w:val="1001"/>
        </w:numPr>
      </w:pPr>
      <w:r>
        <w:t xml:space="preserve">Directory structure:</w:t>
      </w:r>
      <w:r>
        <w:t xml:space="preserve"> </w:t>
      </w:r>
      <w:r>
        <w:rPr>
          <w:rStyle w:val="VerbatimChar"/>
        </w:rPr>
        <w:t xml:space="preserve">cmd/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</w:t>
      </w:r>
      <w:r>
        <w:t xml:space="preserve">,</w:t>
      </w:r>
      <w:r>
        <w:t xml:space="preserve"> </w:t>
      </w:r>
      <w:r>
        <w:rPr>
          <w:rStyle w:val="VerbatimChar"/>
        </w:rPr>
        <w:t xml:space="preserve">web/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.</w:t>
      </w:r>
    </w:p>
    <w:bookmarkEnd w:id="11"/>
    <w:bookmarkStart w:id="1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CLAUDE-3 / AGENT-2 / QWEN-2 documentation continuous-sync guarantee added (restates and cites Constitution §11.4.106 docs-chain);</w:t>
      </w:r>
      <w:r>
        <w:t xml:space="preserve"> </w:t>
      </w:r>
      <w:r>
        <w:rPr>
          <w:rStyle w:val="VerbatimChar"/>
        </w:rPr>
        <w:t xml:space="preserve">.docs_chain/contexts/tracked_docs.yaml</w:t>
      </w:r>
      <w:r>
        <w:t xml:space="preserve"> </w:t>
      </w:r>
      <w:r>
        <w:t xml:space="preserve">extended to enforce README, CLAUDE/AGENTS/QWEN, CHANGELOG, FOUNDATION_PACKAGES, and CODEGRAPH export-sync.</w:t>
      </w:r>
    </w:p>
    <w:bookmarkEnd w:id="12"/>
    <w:bookmarkEnd w:id="13"/>
    <w:bookmarkStart w:id="15" w:name="dev---2026-05-30"/>
    <w:p>
      <w:pPr>
        <w:pStyle w:val="Heading2"/>
      </w:pPr>
      <w:r>
        <w:t xml:space="preserve">[0.1.0-dev] - 2026-05-30</w:t>
      </w:r>
    </w:p>
    <w:bookmarkStart w:id="14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4"/>
        </w:numPr>
      </w:pPr>
      <w:r>
        <w:t xml:space="preserve">Phase 0 bootstrap: submodule cloning and workspace initialization.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