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phase_02_architecture</w:t>
      </w:r>
    </w:p>
    <w:bookmarkStart w:id="21" w:name="X774f718d13c32081e6a87274a7425801b1a7498"/>
    <w:p>
      <w:pPr>
        <w:pStyle w:val="Heading1"/>
      </w:pPr>
      <w:r>
        <w:t xml:space="preserve">Helix Cluster OS — Phase 02 Architecture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p>
      <w:pPr>
        <w:pStyle w:val="BlockText"/>
      </w:pPr>
      <w:r>
        <w:rPr>
          <w:b/>
          <w:bCs/>
        </w:rPr>
        <w:t xml:space="preserve">HXC-1164.</w:t>
      </w:r>
      <w:r>
        <w:t xml:space="preserve"> </w:t>
      </w:r>
      <w:r>
        <w:t xml:space="preserve">This guide describes the Phase 02 runtime architecture: how an</w:t>
      </w:r>
      <w:r>
        <w:t xml:space="preserve"> </w:t>
      </w:r>
      <w:r>
        <w:t xml:space="preserve">operator drives the cluster from the</w:t>
      </w:r>
      <w:r>
        <w:t xml:space="preserve"> </w:t>
      </w:r>
      <w:r>
        <w:rPr>
          <w:b/>
          <w:bCs/>
        </w:rPr>
        <w:t xml:space="preserve">operator console / terminal-multiplexer</w:t>
      </w:r>
      <w:r>
        <w:rPr>
          <w:b/>
          <w:bCs/>
        </w:rPr>
        <w:t xml:space="preserve"> </w:t>
      </w:r>
      <w:r>
        <w:rPr>
          <w:b/>
          <w:bCs/>
        </w:rPr>
        <w:t xml:space="preserve">UI</w:t>
      </w:r>
      <w:r>
        <w:t xml:space="preserve">, how nodes are knit together by the</w:t>
      </w:r>
      <w:r>
        <w:t xml:space="preserve"> </w:t>
      </w:r>
      <w:r>
        <w:rPr>
          <w:b/>
          <w:bCs/>
        </w:rPr>
        <w:t xml:space="preserve">WireGuard + SWIM mesh</w:t>
      </w:r>
      <w:r>
        <w:t xml:space="preserve">, how</w:t>
      </w:r>
      <w:r>
        <w:t xml:space="preserve"> </w:t>
      </w:r>
      <w:r>
        <w:rPr>
          <w:b/>
          <w:bCs/>
        </w:rPr>
        <w:t xml:space="preserve">discovery and the scheduler</w:t>
      </w:r>
      <w:r>
        <w:t xml:space="preserve"> </w:t>
      </w:r>
      <w:r>
        <w:t xml:space="preserve">place work, and where the</w:t>
      </w:r>
      <w:r>
        <w:t xml:space="preserve"> </w:t>
      </w:r>
      <w:r>
        <w:rPr>
          <w:b/>
          <w:bCs/>
        </w:rPr>
        <w:t xml:space="preserve">Linux-node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boundary</w:t>
      </w:r>
      <w:r>
        <w:t xml:space="preserve"> </w:t>
      </w:r>
      <w:r>
        <w:t xml:space="preserve">sits. It is a reader-facing companion to the canonical</w:t>
      </w:r>
      <w:r>
        <w:t xml:space="preserve"> </w:t>
      </w:r>
      <w:hyperlink r:id="rId9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(L0–L7 component map) and to the</w:t>
      </w:r>
      <w:r>
        <w:t xml:space="preserve"> </w:t>
      </w:r>
      <w:r>
        <w:t xml:space="preserve">normative</w:t>
      </w:r>
      <w:r>
        <w:t xml:space="preserve"> </w:t>
      </w:r>
      <w:hyperlink r:id="rId10">
        <w:r>
          <w:rPr>
            <w:rStyle w:val="VerbatimChar"/>
          </w:rPr>
          <w:t xml:space="preserve">docs/NODE_PROVISIONING_BOUNDARY.md</w:t>
        </w:r>
      </w:hyperlink>
      <w:r>
        <w:t xml:space="preserve"> </w:t>
      </w:r>
      <w:r>
        <w:t xml:space="preserve">no-jailbreak boundary (HXC-1146). Use it to trace a single job from console</w:t>
      </w:r>
      <w:r>
        <w:t xml:space="preserve"> </w:t>
      </w:r>
      <w:r>
        <w:t xml:space="preserve">submission all the way to execution on a Linux node.</w:t>
      </w:r>
    </w:p>
    <w:p>
      <w:r>
        <w:pict>
          <v:rect style="width:0;height:1.5pt" o:hralign="center" o:hrstd="t" o:hr="t"/>
        </w:pict>
      </w:r>
    </w:p>
    <w:bookmarkStart w:id="13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Phase 02 turns the single-node prototype into a multi-node distributed system</w:t>
      </w:r>
      <w:r>
        <w:t xml:space="preserve"> </w:t>
      </w:r>
      <w:r>
        <w:t xml:space="preserve">(see</w:t>
      </w:r>
      <w:r>
        <w:t xml:space="preserve"> </w:t>
      </w:r>
      <w:hyperlink r:id="rId11">
        <w:r>
          <w:rPr>
            <w:rStyle w:val="VerbatimChar"/>
          </w:rPr>
          <w:t xml:space="preserve">docs/research/PHASE_2_ROADMAP.md</w:t>
        </w:r>
      </w:hyperlink>
      <w:r>
        <w:t xml:space="preserve">). The</w:t>
      </w:r>
      <w:r>
        <w:t xml:space="preserve"> </w:t>
      </w:r>
      <w:r>
        <w:t xml:space="preserve">four moving parts a reader must understand to follow a job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console / terminal-multiplexer UI</w:t>
      </w:r>
      <w:r>
        <w:t xml:space="preserve"> </w:t>
      </w:r>
      <w:r>
        <w:t xml:space="preserve">— the human entry point. Built</w:t>
      </w:r>
      <w:r>
        <w:t xml:space="preserve"> </w:t>
      </w:r>
      <w:r>
        <w:t xml:space="preserve">on the session subsystem (</w:t>
      </w:r>
      <w:r>
        <w:rPr>
          <w:rStyle w:val="VerbatimChar"/>
        </w:rPr>
        <w:t xml:space="preserve">internal/session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pkg/session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pkg/session/backends</w:t>
      </w:r>
      <w:r>
        <w:t xml:space="preserve"> </w:t>
      </w:r>
      <w:r>
        <w:t xml:space="preserve">tmux + native-PTY backends) and reached through the</w:t>
      </w:r>
      <w:r>
        <w:t xml:space="preserve"> </w:t>
      </w:r>
      <w:r>
        <w:t xml:space="preserve">gateway (</w:t>
      </w:r>
      <w:r>
        <w:rPr>
          <w:rStyle w:val="VerbatimChar"/>
        </w:rPr>
        <w:t xml:space="preserve">internal/gateway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mesh</w:t>
      </w:r>
      <w:r>
        <w:t xml:space="preserve"> </w:t>
      </w:r>
      <w:r>
        <w:t xml:space="preserve">— secure transport (</w:t>
      </w:r>
      <w:r>
        <w:rPr>
          <w:rStyle w:val="VerbatimChar"/>
        </w:rPr>
        <w:t xml:space="preserve">internal/wireguard</w:t>
      </w:r>
      <w:r>
        <w:t xml:space="preserve">, HXC-1163) plus</w:t>
      </w:r>
      <w:r>
        <w:t xml:space="preserve"> </w:t>
      </w:r>
      <w:r>
        <w:t xml:space="preserve">membership (</w:t>
      </w:r>
      <w:r>
        <w:rPr>
          <w:rStyle w:val="VerbatimChar"/>
        </w:rPr>
        <w:t xml:space="preserve">pkg/swim</w:t>
      </w:r>
      <w:r>
        <w:t xml:space="preserve">, HXC-1344), with NAT traversal (</w:t>
      </w:r>
      <w:r>
        <w:rPr>
          <w:rStyle w:val="VerbatimChar"/>
        </w:rPr>
        <w:t xml:space="preserve">pkg/nattraversal</w:t>
      </w:r>
      <w:r>
        <w:t xml:space="preserve">,</w:t>
      </w:r>
      <w:r>
        <w:t xml:space="preserve"> </w:t>
      </w:r>
      <w:r>
        <w:t xml:space="preserve">HXC-1383) and ICE connectivity (</w:t>
      </w:r>
      <w:r>
        <w:rPr>
          <w:rStyle w:val="VerbatimChar"/>
        </w:rPr>
        <w:t xml:space="preserve">pkg/ice</w:t>
      </w:r>
      <w:r>
        <w:t xml:space="preserve">, HXC-1349) where peers are not</w:t>
      </w:r>
      <w:r>
        <w:t xml:space="preserve"> </w:t>
      </w:r>
      <w:r>
        <w:t xml:space="preserve">directly routable.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 + scheduler</w:t>
      </w:r>
      <w:r>
        <w:t xml:space="preserve"> </w:t>
      </w:r>
      <w:r>
        <w:t xml:space="preserve">— the service registry (</w:t>
      </w:r>
      <w:r>
        <w:rPr>
          <w:rStyle w:val="VerbatimChar"/>
        </w:rPr>
        <w:t xml:space="preserve">pkg/discovery</w:t>
      </w:r>
      <w:r>
        <w:t xml:space="preserve">, HXC-1363)</w:t>
      </w:r>
      <w:r>
        <w:t xml:space="preserve"> </w:t>
      </w:r>
      <w:r>
        <w:t xml:space="preserve">feeds the Omega-model scheduler (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internal/scheduler</w:t>
      </w:r>
      <w:r>
        <w:t xml:space="preserve">,</w:t>
      </w:r>
      <w:r>
        <w:t xml:space="preserve"> </w:t>
      </w:r>
      <w:r>
        <w:t xml:space="preserve">HXC-1137), which filters and scores candidate nodes using node resource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pkg/resources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Linux node</w:t>
      </w:r>
      <w:r>
        <w:t xml:space="preserve"> </w:t>
      </w:r>
      <w:r>
        <w:t xml:space="preserve">— the node agent (</w:t>
      </w:r>
      <w:r>
        <w:rPr>
          <w:rStyle w:val="VerbatimChar"/>
        </w:rPr>
        <w:t xml:space="preserve">internal/node</w:t>
      </w:r>
      <w:r>
        <w:t xml:space="preserve">, HXC-1159 →</w:t>
      </w:r>
      <w:r>
        <w:t xml:space="preserve"> </w:t>
      </w:r>
      <w:r>
        <w:rPr>
          <w:rStyle w:val="VerbatimChar"/>
        </w:rPr>
        <w:t xml:space="preserve">cmd/helix-node</w:t>
      </w:r>
      <w:r>
        <w:t xml:space="preserve">) and, for console/boot specifics, the operator-console boot</w:t>
      </w:r>
      <w:r>
        <w:t xml:space="preserve"> </w:t>
      </w:r>
      <w:r>
        <w:t xml:space="preserve">adapter (</w:t>
      </w:r>
      <w:r>
        <w:rPr>
          <w:rStyle w:val="VerbatimChar"/>
        </w:rPr>
        <w:t xml:space="preserve">internal/console</w:t>
      </w:r>
      <w:r>
        <w:t xml:space="preserve">, HXC-1147). This is where the</w:t>
      </w:r>
      <w:r>
        <w:t xml:space="preserve"> </w:t>
      </w:r>
      <w:r>
        <w:rPr>
          <w:b/>
          <w:bCs/>
        </w:rPr>
        <w:t xml:space="preserve">no-jailbreak boundary</w:t>
      </w:r>
      <w:r>
        <w:t xml:space="preserve"> </w:t>
      </w:r>
      <w:r>
        <w:t xml:space="preserve">applies.</w:t>
      </w:r>
    </w:p>
    <w:p>
      <w:pPr>
        <w:pStyle w:val="FirstParagraph"/>
      </w:pPr>
      <w:r>
        <w:t xml:space="preserve">Each component above is a real package; the authoritative component→package→origin</w:t>
      </w:r>
      <w:r>
        <w:t xml:space="preserve"> </w:t>
      </w:r>
      <w:r>
        <w:t xml:space="preserve">mapping lives in</w:t>
      </w:r>
      <w:r>
        <w:t xml:space="preserve"> </w:t>
      </w:r>
      <w:hyperlink r:id="rId9">
        <w:r>
          <w:rPr>
            <w:rStyle w:val="VerbatimChar"/>
          </w:rPr>
          <w:t xml:space="preserve">docs/ARCHITECTURE.md</w:t>
        </w:r>
      </w:hyperlink>
      <w:r>
        <w:t xml:space="preserve">’s Component Map,</w:t>
      </w:r>
      <w:r>
        <w:t xml:space="preserve"> </w:t>
      </w:r>
      <w:r>
        <w:t xml:space="preserve">which is lint-enforced by</w:t>
      </w:r>
      <w:r>
        <w:t xml:space="preserve"> </w:t>
      </w:r>
      <w:hyperlink r:id="rId12">
        <w:r>
          <w:rPr>
            <w:rStyle w:val="VerbatimChar"/>
          </w:rPr>
          <w:t xml:space="preserve">pkg/archlint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architecture-diagram"/>
    <w:p>
      <w:pPr>
        <w:pStyle w:val="Heading2"/>
      </w:pPr>
      <w:r>
        <w:t xml:space="preserve">2. Architecture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Operator["Operator Console / Terminal-Multiplexer UI"]</w:t>
      </w:r>
      <w:r>
        <w:br/>
      </w:r>
      <w:r>
        <w:rPr>
          <w:rStyle w:val="VerbatimChar"/>
        </w:rPr>
        <w:t xml:space="preserve">        TUI["TUI / terminal multiplexer&lt;br/&gt;(tmux + native-PTY backends)"]</w:t>
      </w:r>
      <w:r>
        <w:br/>
      </w:r>
      <w:r>
        <w:rPr>
          <w:rStyle w:val="VerbatimChar"/>
        </w:rPr>
        <w:t xml:space="preserve">        SESS["Session service&lt;br/&gt;internal/session · pkg/session"]</w:t>
      </w:r>
      <w:r>
        <w:br/>
      </w:r>
      <w:r>
        <w:rPr>
          <w:rStyle w:val="VerbatimChar"/>
        </w:rPr>
        <w:t xml:space="preserve">        TUI --&gt; SESS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Edge["Edge"]</w:t>
      </w:r>
      <w:r>
        <w:br/>
      </w:r>
      <w:r>
        <w:rPr>
          <w:rStyle w:val="VerbatimChar"/>
        </w:rPr>
        <w:t xml:space="preserve">        GW["Gateway&lt;br/&gt;internal/gateway (HXC-1469)"]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Mesh["Cluster Mesh (WireGuard + SWIM)"]</w:t>
      </w:r>
      <w:r>
        <w:br/>
      </w:r>
      <w:r>
        <w:rPr>
          <w:rStyle w:val="VerbatimChar"/>
        </w:rPr>
        <w:t xml:space="preserve">        WG["WireGuard secure transport&lt;br/&gt;internal/wireguard (HXC-1163)"]</w:t>
      </w:r>
      <w:r>
        <w:br/>
      </w:r>
      <w:r>
        <w:rPr>
          <w:rStyle w:val="VerbatimChar"/>
        </w:rPr>
        <w:t xml:space="preserve">        SWIM["SWIM gossip membership&lt;br/&gt;pkg/swim (HXC-1344)"]</w:t>
      </w:r>
      <w:r>
        <w:br/>
      </w:r>
      <w:r>
        <w:rPr>
          <w:rStyle w:val="VerbatimChar"/>
        </w:rPr>
        <w:t xml:space="preserve">        NAT["NAT traversal / ICE&lt;br/&gt;pkg/nattraversal · pkg/ice"]</w:t>
      </w:r>
      <w:r>
        <w:br/>
      </w:r>
      <w:r>
        <w:rPr>
          <w:rStyle w:val="VerbatimChar"/>
        </w:rPr>
        <w:t xml:space="preserve">        WG --- SWIM</w:t>
      </w:r>
      <w:r>
        <w:br/>
      </w:r>
      <w:r>
        <w:rPr>
          <w:rStyle w:val="VerbatimChar"/>
        </w:rPr>
        <w:t xml:space="preserve">        WG --- NAT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Placement["Discovery + Scheduling"]</w:t>
      </w:r>
      <w:r>
        <w:br/>
      </w:r>
      <w:r>
        <w:rPr>
          <w:rStyle w:val="VerbatimChar"/>
        </w:rPr>
        <w:t xml:space="preserve">        DISC["Service discovery registry&lt;br/&gt;pkg/discovery (HXC-1363)"]</w:t>
      </w:r>
      <w:r>
        <w:br/>
      </w:r>
      <w:r>
        <w:rPr>
          <w:rStyle w:val="VerbatimChar"/>
        </w:rPr>
        <w:t xml:space="preserve">        SCHED["Omega scheduler&lt;br/&gt;pkg/scheduler · internal/scheduler (HXC-1137)"]</w:t>
      </w:r>
      <w:r>
        <w:br/>
      </w:r>
      <w:r>
        <w:rPr>
          <w:rStyle w:val="VerbatimChar"/>
        </w:rPr>
        <w:t xml:space="preserve">        RES["Resource probe&lt;br/&gt;pkg/resources"]</w:t>
      </w:r>
      <w:r>
        <w:br/>
      </w:r>
      <w:r>
        <w:rPr>
          <w:rStyle w:val="VerbatimChar"/>
        </w:rPr>
        <w:t xml:space="preserve">        DISC --&gt; SCHED</w:t>
      </w:r>
      <w:r>
        <w:br/>
      </w:r>
      <w:r>
        <w:rPr>
          <w:rStyle w:val="VerbatimChar"/>
        </w:rPr>
        <w:t xml:space="preserve">        RES --&gt; SCHED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Node["Linux Node (operator-controlled)"]</w:t>
      </w:r>
      <w:r>
        <w:br/>
      </w:r>
      <w:r>
        <w:rPr>
          <w:rStyle w:val="VerbatimChar"/>
        </w:rPr>
        <w:t xml:space="preserve">        AGENT["Node agent&lt;br/&gt;internal/node · cmd/helix-node (HXC-1159)"]</w:t>
      </w:r>
      <w:r>
        <w:br/>
      </w:r>
      <w:r>
        <w:rPr>
          <w:rStyle w:val="VerbatimChar"/>
        </w:rPr>
        <w:t xml:space="preserve">        BOOT["Console / boot adapter&lt;br/&gt;internal/console (HXC-1147)"]</w:t>
      </w:r>
      <w:r>
        <w:br/>
      </w:r>
      <w:r>
        <w:rPr>
          <w:rStyle w:val="VerbatimChar"/>
        </w:rPr>
        <w:t xml:space="preserve">        EXEC["Job execution / session backend"]</w:t>
      </w:r>
      <w:r>
        <w:br/>
      </w:r>
      <w:r>
        <w:rPr>
          <w:rStyle w:val="VerbatimChar"/>
        </w:rPr>
        <w:t xml:space="preserve">        AGENT --&gt; EXEC</w:t>
      </w:r>
      <w:r>
        <w:br/>
      </w:r>
      <w:r>
        <w:rPr>
          <w:rStyle w:val="VerbatimChar"/>
        </w:rPr>
        <w:t xml:space="preserve">        BOOT --&gt; AGENT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SESS --&gt; GW</w:t>
      </w:r>
      <w:r>
        <w:br/>
      </w:r>
      <w:r>
        <w:rPr>
          <w:rStyle w:val="VerbatimChar"/>
        </w:rPr>
        <w:t xml:space="preserve">    GW --&gt; SCHED</w:t>
      </w:r>
      <w:r>
        <w:br/>
      </w:r>
      <w:r>
        <w:rPr>
          <w:rStyle w:val="VerbatimChar"/>
        </w:rPr>
        <w:t xml:space="preserve">    GW --&gt; WG</w:t>
      </w:r>
      <w:r>
        <w:br/>
      </w:r>
      <w:r>
        <w:rPr>
          <w:rStyle w:val="VerbatimChar"/>
        </w:rPr>
        <w:t xml:space="preserve">    SWIM --&gt; DISC</w:t>
      </w:r>
      <w:r>
        <w:br/>
      </w:r>
      <w:r>
        <w:rPr>
          <w:rStyle w:val="VerbatimChar"/>
        </w:rPr>
        <w:t xml:space="preserve">    AGENT --&gt; SWIM</w:t>
      </w:r>
      <w:r>
        <w:br/>
      </w:r>
      <w:r>
        <w:rPr>
          <w:rStyle w:val="VerbatimChar"/>
        </w:rPr>
        <w:t xml:space="preserve">    AGENT --&gt; WG</w:t>
      </w:r>
      <w:r>
        <w:br/>
      </w:r>
      <w:r>
        <w:rPr>
          <w:rStyle w:val="VerbatimChar"/>
        </w:rPr>
        <w:t xml:space="preserve">    AGENT --&gt; RES</w:t>
      </w:r>
      <w:r>
        <w:br/>
      </w:r>
      <w:r>
        <w:rPr>
          <w:rStyle w:val="VerbatimChar"/>
        </w:rPr>
        <w:t xml:space="preserve">    SCHED --&gt; WG</w:t>
      </w:r>
      <w:r>
        <w:br/>
      </w:r>
      <w:r>
        <w:rPr>
          <w:rStyle w:val="VerbatimChar"/>
        </w:rPr>
        <w:t xml:space="preserve">    WG --&gt; AGENT</w:t>
      </w:r>
      <w:r>
        <w:br/>
      </w:r>
      <w:r>
        <w:rPr>
          <w:rStyle w:val="VerbatimChar"/>
        </w:rPr>
        <w:t xml:space="preserve">    AGENT --&gt; EXEC</w:t>
      </w:r>
      <w:r>
        <w:br/>
      </w:r>
      <w:r>
        <w:br/>
      </w:r>
      <w:r>
        <w:rPr>
          <w:rStyle w:val="VerbatimChar"/>
        </w:rPr>
        <w:t xml:space="preserve">    BOUND["No-jailbreak boundary&lt;br/&gt;docs/NODE_PROVISIONING_BOUNDARY.md (HXC-1146)"]</w:t>
      </w:r>
      <w:r>
        <w:br/>
      </w:r>
      <w:r>
        <w:rPr>
          <w:rStyle w:val="VerbatimChar"/>
        </w:rPr>
        <w:t xml:space="preserve">    BOUND -. "operator already holds lawful admin" .-&gt; Node</w:t>
      </w:r>
    </w:p>
    <w:p>
      <w:pPr>
        <w:pStyle w:val="FirstParagraph"/>
      </w:pPr>
      <w:r>
        <w:t xml:space="preserve">The dashed edge marks the</w:t>
      </w:r>
      <w:r>
        <w:t xml:space="preserve"> </w:t>
      </w:r>
      <w:r>
        <w:rPr>
          <w:b/>
          <w:bCs/>
        </w:rPr>
        <w:t xml:space="preserve">provisioning boundary</w:t>
      </w:r>
      <w:r>
        <w:t xml:space="preserve">: everything inside the</w:t>
      </w:r>
      <w:r>
        <w:t xml:space="preserve"> </w:t>
      </w:r>
      <w:r>
        <w:rPr>
          <w:i/>
          <w:iCs/>
        </w:rPr>
        <w:t xml:space="preserve">Linux Node</w:t>
      </w:r>
      <w:r>
        <w:t xml:space="preserve"> </w:t>
      </w:r>
      <w:r>
        <w:t xml:space="preserve">box presupposes the operator already holds lawful administrative</w:t>
      </w:r>
      <w:r>
        <w:t xml:space="preserve"> </w:t>
      </w:r>
      <w:r>
        <w:t xml:space="preserve">control of that node. Helix never crosses that line to</w:t>
      </w:r>
      <w:r>
        <w:t xml:space="preserve"> </w:t>
      </w:r>
      <w:r>
        <w:rPr>
          <w:i/>
          <w:iCs/>
        </w:rPr>
        <w:t xml:space="preserve">obtain</w:t>
      </w:r>
      <w:r>
        <w:t xml:space="preserve"> </w:t>
      </w:r>
      <w:r>
        <w:t xml:space="preserve">control — see</w:t>
      </w:r>
      <w:r>
        <w:t xml:space="preserve"> </w:t>
      </w:r>
      <w:r>
        <w:t xml:space="preserve">§5.</w:t>
      </w:r>
    </w:p>
    <w:p>
      <w:r>
        <w:pict>
          <v:rect style="width:0;height:1.5pt" o:hralign="center" o:hrstd="t" o:hr="t"/>
        </w:pict>
      </w:r>
    </w:p>
    <w:bookmarkEnd w:id="14"/>
    <w:bookmarkStart w:id="15" w:name="Xf5b22d60100dbd1aca9198936bc38af44694807"/>
    <w:p>
      <w:pPr>
        <w:pStyle w:val="Heading2"/>
      </w:pPr>
      <w:r>
        <w:t xml:space="preserve">3. Tracing a Job: Console Submission → Node Execution</w:t>
      </w:r>
    </w:p>
    <w:p>
      <w:pPr>
        <w:pStyle w:val="FirstParagraph"/>
      </w:pPr>
      <w:r>
        <w:t xml:space="preserve">Follow one job end-to-end. Each step names the package that does the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 from the console.</w:t>
      </w:r>
      <w:r>
        <w:t xml:space="preserve"> </w:t>
      </w:r>
      <w:r>
        <w:t xml:space="preserve">The operator types into the</w:t>
      </w:r>
      <w:r>
        <w:t xml:space="preserve"> </w:t>
      </w:r>
      <w:r>
        <w:t xml:space="preserve">terminal-multiplexer UI. The session subsystem (</w:t>
      </w:r>
      <w:r>
        <w:rPr>
          <w:rStyle w:val="VerbatimChar"/>
        </w:rPr>
        <w:t xml:space="preserve">internal/session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pkg/session</w:t>
      </w:r>
      <w:r>
        <w:t xml:space="preserve">, with a</w:t>
      </w:r>
      <w:r>
        <w:t xml:space="preserve"> </w:t>
      </w:r>
      <w:r>
        <w:rPr>
          <w:rStyle w:val="VerbatimChar"/>
        </w:rPr>
        <w:t xml:space="preserve">pkg/session/backends</w:t>
      </w:r>
      <w:r>
        <w:t xml:space="preserve"> </w:t>
      </w:r>
      <w:r>
        <w:t xml:space="preserve">tmux or native-PTY backend)</w:t>
      </w:r>
      <w:r>
        <w:t xml:space="preserve"> </w:t>
      </w:r>
      <w:r>
        <w:t xml:space="preserve">captures the request and forwards it through the 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internal/gateway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Gateway admits the request.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 </w:t>
      </w:r>
      <w:r>
        <w:t xml:space="preserve">authenticates and routes</w:t>
      </w:r>
      <w:r>
        <w:t xml:space="preserve"> </w:t>
      </w:r>
      <w:r>
        <w:t xml:space="preserve">the submission toward the scheduler. All cluster-internal hops ride the</w:t>
      </w:r>
      <w:r>
        <w:t xml:space="preserve"> </w:t>
      </w:r>
      <w:r>
        <w:t xml:space="preserve">secure transport rather than the public network.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 supplies candidates.</w:t>
      </w:r>
      <w:r>
        <w:t xml:space="preserve"> </w:t>
      </w:r>
      <w:r>
        <w:t xml:space="preserve">The scheduler reads the live service</w:t>
      </w:r>
      <w:r>
        <w:t xml:space="preserve"> </w:t>
      </w:r>
      <w:r>
        <w:t xml:space="preserve">registry (</w:t>
      </w:r>
      <w:r>
        <w:rPr>
          <w:rStyle w:val="VerbatimChar"/>
        </w:rPr>
        <w:t xml:space="preserve">pkg/discovery</w:t>
      </w:r>
      <w:r>
        <w:t xml:space="preserve">), whose membership view is fed by</w:t>
      </w:r>
      <w:r>
        <w:t xml:space="preserve"> </w:t>
      </w:r>
      <w:r>
        <w:rPr>
          <w:b/>
          <w:bCs/>
        </w:rPr>
        <w:t xml:space="preserve">SWIM gossip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pkg/swim</w:t>
      </w:r>
      <w:r>
        <w:t xml:space="preserve">): only nodes currently</w:t>
      </w:r>
      <w:r>
        <w:t xml:space="preserve"> </w:t>
      </w:r>
      <w:r>
        <w:rPr>
          <w:i/>
          <w:iCs/>
        </w:rPr>
        <w:t xml:space="preserve">alive</w:t>
      </w:r>
      <w:r>
        <w:t xml:space="preserve"> </w:t>
      </w:r>
      <w:r>
        <w:t xml:space="preserve">in the membership list are</w:t>
      </w:r>
      <w:r>
        <w:t xml:space="preserve"> </w:t>
      </w:r>
      <w:r>
        <w:t xml:space="preserve">eligible. Per-node capacity comes from the resource probe (</w:t>
      </w:r>
      <w:r>
        <w:rPr>
          <w:rStyle w:val="VerbatimChar"/>
        </w:rPr>
        <w:t xml:space="preserve">pkg/resources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Scheduler places the job.</w:t>
      </w:r>
      <w:r>
        <w:t xml:space="preserve"> </w:t>
      </w:r>
      <w:r>
        <w:t xml:space="preserve">The Omega-model 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internal/scheduler</w:t>
      </w:r>
      <w:r>
        <w:t xml:space="preserve">) runs its</w:t>
      </w:r>
      <w:r>
        <w:t xml:space="preserve"> </w:t>
      </w:r>
      <w:r>
        <w:rPr>
          <w:b/>
          <w:bCs/>
        </w:rPr>
        <w:t xml:space="preserve">filter → score</w:t>
      </w:r>
      <w:r>
        <w:t xml:space="preserve"> </w:t>
      </w:r>
      <w:r>
        <w:t xml:space="preserve">pipeline</w:t>
      </w:r>
      <w:r>
        <w:t xml:space="preserve"> </w:t>
      </w:r>
      <w:r>
        <w:t xml:space="preserve">under optimistic concurrency and selects a target Linux node.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mesh carries the dispatch.</w:t>
      </w:r>
      <w:r>
        <w:t xml:space="preserve"> </w:t>
      </w:r>
      <w:r>
        <w:t xml:space="preserve">The placement decision and the job I/O</w:t>
      </w:r>
      <w:r>
        <w:t xml:space="preserve"> </w:t>
      </w:r>
      <w:r>
        <w:t xml:space="preserve">travel over the</w:t>
      </w:r>
      <w:r>
        <w:t xml:space="preserve"> </w:t>
      </w:r>
      <w:r>
        <w:rPr>
          <w:b/>
          <w:bCs/>
        </w:rPr>
        <w:t xml:space="preserve">WireGuard</w:t>
      </w:r>
      <w:r>
        <w:t xml:space="preserve"> </w:t>
      </w:r>
      <w:r>
        <w:t xml:space="preserve">tunnel (</w:t>
      </w:r>
      <w:r>
        <w:rPr>
          <w:rStyle w:val="VerbatimChar"/>
        </w:rPr>
        <w:t xml:space="preserve">internal/wireguard</w:t>
      </w:r>
      <w:r>
        <w:t xml:space="preserve">) to the chosen</w:t>
      </w:r>
      <w:r>
        <w:t xml:space="preserve"> </w:t>
      </w:r>
      <w:r>
        <w:t xml:space="preserve">node. Where the node is behind NAT,</w:t>
      </w:r>
      <w:r>
        <w:t xml:space="preserve"> </w:t>
      </w:r>
      <w:r>
        <w:rPr>
          <w:rStyle w:val="VerbatimChar"/>
        </w:rPr>
        <w:t xml:space="preserve">pkg/nattraversal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pkg/ice</w:t>
      </w:r>
      <w:r>
        <w:t xml:space="preserve"> </w:t>
      </w:r>
      <w:r>
        <w:t xml:space="preserve">establish</w:t>
      </w:r>
      <w:r>
        <w:t xml:space="preserve"> </w:t>
      </w:r>
      <w:r>
        <w:t xml:space="preserve">connectivity first; SWIM keeps the path’s liveness honest.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node agent executes.</w:t>
      </w:r>
      <w:r>
        <w:t xml:space="preserve"> </w:t>
      </w:r>
      <w:r>
        <w:t xml:space="preserve">On the target, the node agent (</w:t>
      </w:r>
      <w:r>
        <w:rPr>
          <w:rStyle w:val="VerbatimChar"/>
        </w:rPr>
        <w:t xml:space="preserve">internal/node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cmd/helix-node</w:t>
      </w:r>
      <w:r>
        <w:t xml:space="preserve">) accepts the dispatch and runs the workload (or attaches</w:t>
      </w:r>
      <w:r>
        <w:t xml:space="preserve"> </w:t>
      </w:r>
      <w:r>
        <w:t xml:space="preserve">the session backend). For console/boot-specific nodes,</w:t>
      </w:r>
      <w:r>
        <w:t xml:space="preserve"> </w:t>
      </w:r>
      <w:r>
        <w:rPr>
          <w:rStyle w:val="VerbatimChar"/>
        </w:rPr>
        <w:t xml:space="preserve">internal/console</w:t>
      </w:r>
      <w:r>
        <w:t xml:space="preserve"> </w:t>
      </w:r>
      <w:r>
        <w:t xml:space="preserve">(HXC-1147) is the adapter that brought the agent up and exposes its</w:t>
      </w:r>
      <w:r>
        <w:t xml:space="preserve"> </w:t>
      </w:r>
      <w:r>
        <w:t xml:space="preserve">resources.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 stream back.</w:t>
      </w:r>
      <w:r>
        <w:t xml:space="preserve"> </w:t>
      </w:r>
      <w:r>
        <w:t xml:space="preserve">Output flows back over the same WireGuard path to</w:t>
      </w:r>
      <w:r>
        <w:t xml:space="preserve"> </w:t>
      </w:r>
      <w:r>
        <w:t xml:space="preserve">the gateway and into the operator’s terminal-multiplexer session — closing</w:t>
      </w:r>
      <w:r>
        <w:t xml:space="preserve"> </w:t>
      </w:r>
      <w:r>
        <w:t xml:space="preserve">the loop the operator started in step 1.</w:t>
      </w:r>
    </w:p>
    <w:p>
      <w:pPr>
        <w:pStyle w:val="FirstParagraph"/>
      </w:pPr>
      <w:r>
        <w:t xml:space="preserve">A reader can therefore trace the request as:</w:t>
      </w:r>
      <w:r>
        <w:t xml:space="preserve"> </w:t>
      </w:r>
      <w:r>
        <w:rPr>
          <w:b/>
          <w:bCs/>
        </w:rPr>
        <w:t xml:space="preserve">console UI → session → gateway → discovery(SWIM) → scheduler → WireGuard mesh</w:t>
      </w:r>
      <w:r>
        <w:rPr>
          <w:b/>
          <w:bCs/>
        </w:rPr>
        <w:t xml:space="preserve"> </w:t>
      </w:r>
      <w:r>
        <w:rPr>
          <w:b/>
          <w:bCs/>
        </w:rPr>
        <w:t xml:space="preserve">→ node agent → execution → back to the console.</w:t>
      </w:r>
    </w:p>
    <w:p>
      <w:r>
        <w:pict>
          <v:rect style="width:0;height:1.5pt" o:hralign="center" o:hrstd="t" o:hr="t"/>
        </w:pict>
      </w:r>
    </w:p>
    <w:bookmarkEnd w:id="15"/>
    <w:bookmarkStart w:id="16" w:name="component-reference"/>
    <w:p>
      <w:pPr>
        <w:pStyle w:val="Heading2"/>
      </w:pPr>
      <w:r>
        <w:t xml:space="preserve">4. Component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Console / UI</w:t>
            </w:r>
          </w:p>
        </w:tc>
        <w:tc>
          <w:tcPr/>
          <w:p>
            <w:pPr>
              <w:pStyle w:val="Compact"/>
            </w:pPr>
            <w:r>
              <w:t xml:space="preserve">Session service + multiplexer backends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pkg/session/backends</w:t>
            </w:r>
          </w:p>
        </w:tc>
        <w:tc>
          <w:tcPr/>
          <w:p>
            <w:pPr>
              <w:pStyle w:val="Compact"/>
            </w:pPr>
            <w:r>
              <w:t xml:space="preserve">HXC-1136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</w:t>
            </w:r>
          </w:p>
        </w:tc>
        <w:tc>
          <w:tcPr/>
          <w:p>
            <w:pPr>
              <w:pStyle w:val="Compact"/>
            </w:pPr>
            <w:r>
              <w:t xml:space="preserve">HXC-1469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 transport</w:t>
            </w:r>
          </w:p>
        </w:tc>
        <w:tc>
          <w:tcPr/>
          <w:p>
            <w:pPr>
              <w:pStyle w:val="Compact"/>
            </w:pPr>
            <w:r>
              <w:t xml:space="preserve">WireGuard mesh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internal/wireguard</w:t>
            </w:r>
          </w:p>
        </w:tc>
        <w:tc>
          <w:tcPr/>
          <w:p>
            <w:pPr>
              <w:pStyle w:val="Compact"/>
            </w:pPr>
            <w:r>
              <w:t xml:space="preserve">HXC-1163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 membership</w:t>
            </w:r>
          </w:p>
        </w:tc>
        <w:tc>
          <w:tcPr/>
          <w:p>
            <w:pPr>
              <w:pStyle w:val="Compact"/>
            </w:pPr>
            <w:r>
              <w:t xml:space="preserve">SWIM gossip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</w:pPr>
            <w:r>
              <w:t xml:space="preserve">HXC-1344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 reachability</w:t>
            </w:r>
          </w:p>
        </w:tc>
        <w:tc>
          <w:tcPr/>
          <w:p>
            <w:pPr>
              <w:pStyle w:val="Compact"/>
            </w:pPr>
            <w:r>
              <w:t xml:space="preserve">NAT traversal / 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pkg/nattraversal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pkg/ice</w:t>
            </w:r>
          </w:p>
        </w:tc>
        <w:tc>
          <w:tcPr/>
          <w:p>
            <w:pPr>
              <w:pStyle w:val="Compact"/>
            </w:pPr>
            <w:r>
              <w:t xml:space="preserve">HXC-1383 / HXC-1349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Service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</w:pPr>
            <w:r>
              <w:t xml:space="preserve">HXC-1363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Omega 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internal/scheduler</w:t>
            </w:r>
          </w:p>
        </w:tc>
        <w:tc>
          <w:tcPr/>
          <w:p>
            <w:pPr>
              <w:pStyle w:val="Compact"/>
            </w:pPr>
            <w:r>
              <w:t xml:space="preserve">HXC-1137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capacity</w:t>
            </w:r>
          </w:p>
        </w:tc>
        <w:tc>
          <w:tcPr/>
          <w:p>
            <w:pPr>
              <w:pStyle w:val="Compact"/>
            </w:pPr>
            <w:r>
              <w:t xml:space="preserve">Resource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</w:p>
        </w:tc>
        <w:tc>
          <w:tcPr/>
          <w:p>
            <w:pPr>
              <w:pStyle w:val="Compact"/>
            </w:pPr>
            <w:r>
              <w:t xml:space="preserve">HXC-1153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Node agent + 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cmd/helix-node</w:t>
            </w:r>
          </w:p>
        </w:tc>
        <w:tc>
          <w:tcPr/>
          <w:p>
            <w:pPr>
              <w:pStyle w:val="Compact"/>
            </w:pPr>
            <w:r>
              <w:t xml:space="preserve">HXC-1159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boot</w:t>
            </w:r>
          </w:p>
        </w:tc>
        <w:tc>
          <w:tcPr/>
          <w:p>
            <w:pPr>
              <w:pStyle w:val="Compact"/>
            </w:pPr>
            <w:r>
              <w:t xml:space="preserve">Console / boot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</w:t>
            </w:r>
          </w:p>
        </w:tc>
        <w:tc>
          <w:tcPr/>
          <w:p>
            <w:pPr>
              <w:pStyle w:val="Compact"/>
            </w:pPr>
            <w:r>
              <w:t xml:space="preserve">HXC-1147</w:t>
            </w:r>
          </w:p>
        </w:tc>
      </w:tr>
    </w:tbl>
    <w:p>
      <w:pPr>
        <w:pStyle w:val="BodyText"/>
      </w:pPr>
      <w:r>
        <w:t xml:space="preserve">The canonical, lint-enforced mapping is</w:t>
      </w:r>
      <w:r>
        <w:t xml:space="preserve"> </w:t>
      </w:r>
      <w:hyperlink r:id="rId9">
        <w:r>
          <w:rPr>
            <w:rStyle w:val="VerbatimChar"/>
          </w:rPr>
          <w:t xml:space="preserve">docs/ARCHITECTURE.md</w:t>
        </w:r>
      </w:hyperlink>
      <w:r>
        <w:t xml:space="preserve">;</w:t>
      </w:r>
      <w:r>
        <w:t xml:space="preserve"> </w:t>
      </w:r>
      <w:r>
        <w:t xml:space="preserve">the rows above are the Phase-02 job-path subset.</w:t>
      </w:r>
    </w:p>
    <w:p>
      <w:r>
        <w:pict>
          <v:rect style="width:0;height:1.5pt" o:hralign="center" o:hrstd="t" o:hr="t"/>
        </w:pict>
      </w:r>
    </w:p>
    <w:bookmarkEnd w:id="16"/>
    <w:bookmarkStart w:id="17" w:name="X2b39b79e3b887faeec5d161e461277a601d20e9"/>
    <w:p>
      <w:pPr>
        <w:pStyle w:val="Heading2"/>
      </w:pPr>
      <w:r>
        <w:t xml:space="preserve">5. The Linux-Node Integration Boundary (No-Jailbreak)</w:t>
      </w:r>
    </w:p>
    <w:p>
      <w:pPr>
        <w:pStyle w:val="FirstParagraph"/>
      </w:pPr>
      <w:r>
        <w:t xml:space="preserve">Everything in §3 step 6–7 runs</w:t>
      </w:r>
      <w:r>
        <w:t xml:space="preserve"> </w:t>
      </w:r>
      <w:r>
        <w:rPr>
          <w:b/>
          <w:bCs/>
        </w:rPr>
        <w:t xml:space="preserve">on a node the operator already controls</w:t>
      </w:r>
      <w:r>
        <w:t xml:space="preserve">. The</w:t>
      </w:r>
      <w:r>
        <w:t xml:space="preserve"> </w:t>
      </w:r>
      <w:r>
        <w:t xml:space="preserve">mesh-join, membership, discovery, and attestation flows operate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operator holds lawful root/admin access to the device — they are a means of</w:t>
      </w:r>
      <w:r>
        <w:t xml:space="preserve"> </w:t>
      </w:r>
      <w:r>
        <w:rPr>
          <w:b/>
          <w:bCs/>
        </w:rPr>
        <w:t xml:space="preserve">admission by attestation, never of seizing a device</w:t>
      </w:r>
      <w:r>
        <w:t xml:space="preserve">.</w:t>
      </w:r>
    </w:p>
    <w:p>
      <w:pPr>
        <w:pStyle w:val="BodyText"/>
      </w:pPr>
      <w:r>
        <w:t xml:space="preserve">Helix Cluster OS therefore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jailbreak, root, unlock bootloaders,</w:t>
      </w:r>
      <w:r>
        <w:t xml:space="preserve"> </w:t>
      </w:r>
      <w:r>
        <w:t xml:space="preserve">defeat secure/verified boot, or bypass DRM/TPM/fuse protections to bring a node</w:t>
      </w:r>
      <w:r>
        <w:t xml:space="preserve"> </w:t>
      </w:r>
      <w:r>
        <w:t xml:space="preserve">in. Obtaining administrative control of a device is the operator’s own,</w:t>
      </w:r>
      <w:r>
        <w:t xml:space="preserve"> </w:t>
      </w:r>
      <w:r>
        <w:t xml:space="preserve">independently-acquired responsibility and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. The in-scope</w:t>
      </w:r>
      <w:r>
        <w:t xml:space="preserve"> </w:t>
      </w:r>
      <w:r>
        <w:t xml:space="preserve">paths — flashing operator-owned SBCs, side-loading the agent on</w:t>
      </w:r>
      <w:r>
        <w:t xml:space="preserve"> </w:t>
      </w:r>
      <w:r>
        <w:t xml:space="preserve">operator-controlled devices, and enrolling owned servers/workstations — all</w:t>
      </w:r>
      <w:r>
        <w:t xml:space="preserve"> </w:t>
      </w:r>
      <w:r>
        <w:t xml:space="preserve">begin at the dashed boundary in the diagram above.</w:t>
      </w:r>
    </w:p>
    <w:p>
      <w:pPr>
        <w:pStyle w:val="BodyText"/>
      </w:pPr>
      <w:r>
        <w:t xml:space="preserve">This guide is descriptive; the</w:t>
      </w:r>
      <w:r>
        <w:t xml:space="preserve"> </w:t>
      </w:r>
      <w:r>
        <w:rPr>
          <w:b/>
          <w:bCs/>
        </w:rPr>
        <w:t xml:space="preserve">normative</w:t>
      </w:r>
      <w:r>
        <w:t xml:space="preserve"> </w:t>
      </w:r>
      <w:r>
        <w:t xml:space="preserve">statement, its MUST/MUST-NOT</w:t>
      </w:r>
      <w:r>
        <w:t xml:space="preserve"> </w:t>
      </w:r>
      <w:r>
        <w:t xml:space="preserve">rules, the lawful-control precondition, and the security/trust rationale live in</w:t>
      </w:r>
      <w:r>
        <w:t xml:space="preserve"> </w:t>
      </w:r>
      <w:hyperlink r:id="rId10">
        <w:r>
          <w:rPr>
            <w:rStyle w:val="VerbatimChar"/>
          </w:rPr>
          <w:t xml:space="preserve">docs/NODE_PROVISIONING_BOUNDARY.md</w:t>
        </w:r>
      </w:hyperlink>
      <w:r>
        <w:t xml:space="preserve"> </w:t>
      </w:r>
      <w:r>
        <w:t xml:space="preserve">(HXC-1146), which is binding on every component named here.</w:t>
      </w:r>
    </w:p>
    <w:p>
      <w:r>
        <w:pict>
          <v:rect style="width:0;height:1.5pt" o:hralign="center" o:hrstd="t" o:hr="t"/>
        </w:pict>
      </w:r>
    </w:p>
    <w:bookmarkEnd w:id="17"/>
    <w:bookmarkStart w:id="20" w:name="cross-references"/>
    <w:p>
      <w:pPr>
        <w:pStyle w:val="Heading2"/>
      </w:pPr>
      <w:r>
        <w:t xml:space="preserve">6. Cross-References</w:t>
      </w:r>
    </w:p>
    <w:p>
      <w:pPr>
        <w:pStyle w:val="Compact"/>
        <w:numPr>
          <w:ilvl w:val="0"/>
          <w:numId w:val="1003"/>
        </w:numPr>
      </w:pPr>
      <w:hyperlink r:id="rId9">
        <w:r>
          <w:rPr>
            <w:rStyle w:val="VerbatimChar"/>
          </w:rPr>
          <w:t xml:space="preserve">docs/ARCHITECTURE.md</w:t>
        </w:r>
      </w:hyperlink>
      <w:r>
        <w:t xml:space="preserve"> </w:t>
      </w:r>
      <w:r>
        <w:t xml:space="preserve">— canonical L0–L7 stack and</w:t>
      </w:r>
      <w:r>
        <w:t xml:space="preserve"> </w:t>
      </w:r>
      <w:r>
        <w:t xml:space="preserve">lint-enforced Component Map (the source of every package name above).</w:t>
      </w:r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VerbatimChar"/>
          </w:rPr>
          <w:t xml:space="preserve">docs/NODE_PROVISIONING_BOUNDARY.md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normative node-provisioning / no-jailbreak boundary (HXC-1146).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VerbatimChar"/>
          </w:rPr>
          <w:t xml:space="preserve">docs/research/PHASE_2_ROADMAP.md</w:t>
        </w:r>
      </w:hyperlink>
      <w:r>
        <w:t xml:space="preserve"> </w:t>
      </w:r>
      <w:r>
        <w:t xml:space="preserve">— Phase 02</w:t>
      </w:r>
      <w:r>
        <w:t xml:space="preserve"> </w:t>
      </w:r>
      <w:r>
        <w:t xml:space="preserve">scope, sub-phases, and package breakdown.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— project overview and Documentation index.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— governance (CLAUDE-1 usability, CLAUDE-2</w:t>
      </w:r>
      <w:r>
        <w:t xml:space="preserve"> </w:t>
      </w:r>
      <w:r>
        <w:t xml:space="preserve">cross-platform parity, CLAUDE-3 docs-sync).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../CLAUDE.md" TargetMode="External" /><Relationship Type="http://schemas.openxmlformats.org/officeDocument/2006/relationships/hyperlink" Id="rId18" Target="../../README.md" TargetMode="External" /><Relationship Type="http://schemas.openxmlformats.org/officeDocument/2006/relationships/hyperlink" Id="rId12" Target="../../pkg/archlint" TargetMode="External" /><Relationship Type="http://schemas.openxmlformats.org/officeDocument/2006/relationships/hyperlink" Id="rId9" Target="../ARCHITECTURE.md" TargetMode="External" /><Relationship Type="http://schemas.openxmlformats.org/officeDocument/2006/relationships/hyperlink" Id="rId10" Target="../NODE_PROVISIONING_BOUNDARY.md" TargetMode="External" /><Relationship Type="http://schemas.openxmlformats.org/officeDocument/2006/relationships/hyperlink" Id="rId11" Target="../research/PHASE_2_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../CLAUDE.md" TargetMode="External" /><Relationship Type="http://schemas.openxmlformats.org/officeDocument/2006/relationships/hyperlink" Id="rId18" Target="../../README.md" TargetMode="External" /><Relationship Type="http://schemas.openxmlformats.org/officeDocument/2006/relationships/hyperlink" Id="rId12" Target="../../pkg/archlint" TargetMode="External" /><Relationship Type="http://schemas.openxmlformats.org/officeDocument/2006/relationships/hyperlink" Id="rId9" Target="../ARCHITECTURE.md" TargetMode="External" /><Relationship Type="http://schemas.openxmlformats.org/officeDocument/2006/relationships/hyperlink" Id="rId10" Target="../NODE_PROVISIONING_BOUNDARY.md" TargetMode="External" /><Relationship Type="http://schemas.openxmlformats.org/officeDocument/2006/relationships/hyperlink" Id="rId11" Target="../research/PHASE_2_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phase_02_architecture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