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126+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Oracle-SCAN-style stable virtual client endpoint: least-loaded healthy-backend routing with a membership-stable name and injected clock.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deltacrdt</w:t>
            </w:r>
          </w:p>
        </w:tc>
        <w:tc>
          <w:tcPr/>
          <w:p>
            <w:pPr>
              <w:pStyle w:val="Compact"/>
            </w:pPr>
            <w:r>
              <w:t xml:space="preserve">Standalone delta-state CRDTs (G-counter / PN-counter / observed-remove OR-set / LWW-map) with delta-mutators and a convergent (commutative/associative/idempotent) merge.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llmfailover</w:t>
            </w:r>
          </w:p>
        </w:tc>
        <w:tc>
          <w:tcPr/>
          <w:p>
            <w:pPr>
              <w:pStyle w:val="Compact"/>
            </w:pPr>
            <w:r>
              <w:t xml:space="preserve">Error-classified LLM failover taxonomy (deterministic per-class fallback paths) plus a sandbox scheduling-hint contract.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devicecatalog</w:t>
            </w:r>
          </w:p>
        </w:tc>
        <w:tc>
          <w:tcPr/>
          <w:p>
            <w:pPr>
              <w:pStyle w:val="Compact"/>
            </w:pPr>
            <w:r>
              <w:t xml:space="preserve">Machine-readable 64-device taxonomy with case-insensitive substring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resolving a discovered CPU model (e.g. </w:t>
            </w:r>
            <w:r>
              <w:rPr>
                <w:rStyle w:val="VerbatimChar"/>
              </w:rPr>
              <w:t xml:space="preserve">Rockchip RK3588</w:t>
            </w:r>
            <w:r>
              <w:t xml:space="preserve">) to its tier / trust-level / compute-class.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RevenueOptimizer.OptimizeAllocation</w:t>
            </w:r>
            <w:r>
              <w:t xml:space="preserve"> </w:t>
            </w:r>
            <w:r>
              <w:t xml:space="preserve">greedy GPU→marketplace assignment maximising expected revenue, with a TEE→Chutes revenue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carbonsched</w:t>
            </w:r>
          </w:p>
        </w:tc>
        <w:tc>
          <w:tcPr/>
          <w:p>
            <w:pPr>
              <w:pStyle w:val="Compact"/>
            </w:pPr>
            <w:r>
              <w:t xml:space="preserve">Carbon-aware job placement: selects the lowest-carbon-intensity latency-eligible region (deterministic name tiebreak) with per-job kWh / gCO2 metering.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UnifiedManager.RouteWorkload</w:t>
            </w:r>
            <w:r>
              <w:t xml:space="preserve">: concurrent per-marketplace price probes + a weighted composite score (inverse price/latency, health) with a TEE multiplier re-ranking confidential offers when the workload requires a TEE.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RewardDistributor</w:t>
            </w:r>
            <w:r>
              <w:t xml:space="preserve"> </w:t>
            </w:r>
            <w:r>
              <w:t xml:space="preserve">multi-token distribution with treasury/reinvest splits and a conservation invariant, plus</w:t>
            </w:r>
            <w:r>
              <w:t xml:space="preserve"> </w:t>
            </w:r>
            <w:r>
              <w:rPr>
                <w:rStyle w:val="VerbatimChar"/>
              </w:rPr>
              <w:t xml:space="preserve">GetParticipantROI</w:t>
            </w:r>
            <w:r>
              <w:t xml:space="preserve"> </w:t>
            </w:r>
            <w:r>
              <w:t xml:space="preserve">(ROI% + break-even days, typed unknown-participant error).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gputopo</w:t>
            </w:r>
          </w:p>
        </w:tc>
        <w:tc>
          <w:tcPr/>
          <w:p>
            <w:pPr>
              <w:pStyle w:val="Compact"/>
            </w:pPr>
            <w:r>
              <w:t xml:space="preserve">Topology-aware NUMA/NVLink GPU placement scoring that prefers NVLink-connected GPU pairs and falls back to PCIe.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balancemonitor</w:t>
            </w:r>
          </w:p>
        </w:tc>
        <w:tc>
          <w:tcPr/>
          <w:p>
            <w:pPr>
              <w:pStyle w:val="Compact"/>
            </w:pPr>
            <w:r>
              <w:t xml:space="preserve">USD account-balance monitor with a strict low-balance floor warning, over HTTP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fsresidency</w:t>
            </w:r>
          </w:p>
        </w:tc>
        <w:tc>
          <w:tcPr/>
          <w:p>
            <w:pPr>
              <w:pStyle w:val="Compact"/>
            </w:pPr>
            <w:r>
              <w:t xml:space="preserve">Filesystem residency challenge: per-byte-range</w:t>
            </w:r>
            <w:r>
              <w:t xml:space="preserve"> </w:t>
            </w:r>
            <w:r>
              <w:rPr>
                <w:rStyle w:val="VerbatimChar"/>
              </w:rPr>
              <w:t xml:space="preserve">ReadAt</w:t>
            </w:r>
            <w:r>
              <w:t xml:space="preserve"> </w:t>
            </w:r>
            <w:r>
              <w:t xml:space="preserve">+ SHA-256 verification proving a model file is really present on disk; truncated / missing / mismatch all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exportcontrol</w:t>
            </w:r>
          </w:p>
        </w:tc>
        <w:tc>
          <w:tcPr/>
          <w:p>
            <w:pPr>
              <w:pStyle w:val="Compact"/>
            </w:pPr>
            <w:r>
              <w:t xml:space="preserve">Export-control / country-code KYC gate on node onboarding: a controlled GPU (</w:t>
            </w:r>
            <w:r>
              <w:rPr>
                <w:rStyle w:val="VerbatimChar"/>
              </w:rPr>
              <w:t xml:space="preserve">H100</w:t>
            </w:r>
            <w:r>
              <w:t xml:space="preserve">/</w:t>
            </w:r>
            <w:r>
              <w:rPr>
                <w:rStyle w:val="VerbatimChar"/>
              </w:rPr>
              <w:t xml:space="preserve">A100</w:t>
            </w:r>
            <w:r>
              <w:t xml:space="preserve">) from a Tier-3 (embargoed) or unknown jurisdiction is rejected with</w:t>
            </w:r>
            <w:r>
              <w:t xml:space="preserve"> </w:t>
            </w:r>
            <w:r>
              <w:rPr>
                <w:rStyle w:val="VerbatimChar"/>
              </w:rPr>
              <w:t xml:space="preserve">ErrExportDenied</w:t>
            </w:r>
            <w:r>
              <w:t xml:space="preserve">; Tier-1 is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hybridkex</w:t>
            </w:r>
          </w:p>
        </w:tc>
        <w:tc>
          <w:tcPr/>
          <w:p>
            <w:pPr>
              <w:pStyle w:val="Compact"/>
            </w:pPr>
            <w:r>
              <w:t xml:space="preserve">Hybrid post-quantum key exchange combining X25519 (</w:t>
            </w:r>
            <w:r>
              <w:rPr>
                <w:rStyle w:val="VerbatimChar"/>
              </w:rPr>
              <w:t xml:space="preserve">crypto/ecdh</w:t>
            </w:r>
            <w:r>
              <w:t xml:space="preserve">) + ML-KEM-768 (</w:t>
            </w:r>
            <w:r>
              <w:rPr>
                <w:rStyle w:val="VerbatimChar"/>
              </w:rPr>
              <w:t xml:space="preserve">crypto/mlkem</w:t>
            </w:r>
            <w:r>
              <w:t xml:space="preserve">) shared secrets via HKDF-SHA256 (negotiated group</w:t>
            </w:r>
            <w:r>
              <w:t xml:space="preserve"> </w:t>
            </w:r>
            <w:r>
              <w:rPr>
                <w:rStyle w:val="VerbatimChar"/>
              </w:rPr>
              <w:t xml:space="preserve">X25519MLKEM768</w:t>
            </w:r>
            <w:r>
              <w:t xml:space="preserve">); both parties derive an identical 32-byte key, and a tampered ML-KEM ciphertext yields a non-matching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e2eebench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MeasureHandshakeLatency</w:t>
            </w:r>
            <w:r>
              <w:t xml:space="preserve"> </w:t>
            </w:r>
            <w:r>
              <w:t xml:space="preserve">benchmarks the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full handshake (median + P95 over many iterations), proving median &lt; 1ms on host and enforcing per-iteration key agreement (</w:t>
            </w:r>
            <w:r>
              <w:rPr>
                <w:rStyle w:val="VerbatimChar"/>
              </w:rPr>
              <w:t xml:space="preserve">ErrKeyDisagreement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compliancedoc</w:t>
            </w:r>
          </w:p>
        </w:tc>
        <w:tc>
          <w:tcPr/>
          <w:p>
            <w:pPr>
              <w:pStyle w:val="Compact"/>
            </w:pPr>
            <w:r>
              <w:t xml:space="preserve">EU AI Act compliance-documentation pipeline: generates a model card + technical-documentation artifact from attestation-log records with a SHA-256 provenance hash bound to the record content; empty logs →</w:t>
            </w:r>
            <w:r>
              <w:t xml:space="preserve"> </w:t>
            </w:r>
            <w:r>
              <w:rPr>
                <w:rStyle w:val="VerbatimChar"/>
              </w:rPr>
              <w:t xml:space="preserve">ErrNoAttestations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multigpu.go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Multi-GPU node enumeration: an N-GPU node descriptor yields N distinct, independently-verifiable per-device attestation proofs keyed by GPU UUID; rejects duplicate/empty descriptors.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llmadapter</w:t>
            </w:r>
          </w:p>
        </w:tc>
        <w:tc>
          <w:tcPr/>
          <w:p>
            <w:pPr>
              <w:pStyle w:val="Compact"/>
            </w:pPr>
            <w:r>
              <w:t xml:space="preserve">Claude Messages / OpenAI Responses-API request and response shape adapters to OpenAI chat-completions, preserving tool-call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GetCurrentPricing</w:t>
            </w:r>
            <w:r>
              <w:t xml:space="preserve">/</w:t>
            </w:r>
            <w:r>
              <w:rPr>
                <w:rStyle w:val="VerbatimChar"/>
              </w:rPr>
              <w:t xml:space="preserve">SubmitWork</w:t>
            </w:r>
            <w:r>
              <w:t xml:space="preserve">) with a</w:t>
            </w:r>
            <w:r>
              <w:t xml:space="preserve"> </w:t>
            </w:r>
            <w:r>
              <w:rPr>
                <w:rStyle w:val="VerbatimChar"/>
              </w:rPr>
              <w:t xml:space="preserve">Name()</w:t>
            </w:r>
            <w:r>
              <w:t xml:space="preserve">-keyed dispatch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and an HTTP-backed</w:t>
            </w:r>
            <w:r>
              <w:t xml:space="preserve"> </w:t>
            </w:r>
            <w:r>
              <w:rPr>
                <w:rStyle w:val="VerbatimChar"/>
              </w:rPr>
              <w:t xml:space="preserve">ChutesAdapter</w:t>
            </w:r>
            <w:r>
              <w:t xml:space="preserve"> </w:t>
            </w:r>
            <w:r>
              <w:t xml:space="preserve">(non-2xx rejected); routes work to the named marketplace.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 (Prometheus-text</w:t>
            </w:r>
            <w:r>
              <w:t xml:space="preserve"> </w:t>
            </w:r>
            <w:r>
              <w:rPr>
                <w:rStyle w:val="VerbatimChar"/>
              </w:rPr>
              <w:t xml:space="preserve">NodeCollector</w:t>
            </w:r>
            <w:r>
              <w:t xml:space="preserve">); plus</w:t>
            </w:r>
            <w:r>
              <w:t xml:space="preserve"> </w:t>
            </w:r>
            <w:r>
              <w:rPr>
                <w:rStyle w:val="VerbatimChar"/>
              </w:rPr>
              <w:t xml:space="preserve">TierMetrics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tiermetrics.go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gpu_tier_utilization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gpu_cost_per_hour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provider_health</w:t>
            </w:r>
            <w:r>
              <w:t xml:space="preserve"> </w:t>
            </w:r>
            <w:r>
              <w:t xml:space="preserve">series with deterministic ordering and concurrent-safe setters.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