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3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taxonomy),</w:t>
            </w:r>
            <w:r>
              <w:t xml:space="preserve"> </w:t>
            </w:r>
            <w:r>
              <w:rPr>
                <w:rStyle w:val="VerbatimChar"/>
              </w:rPr>
              <w:t xml:space="preserve">carbonsched</w:t>
            </w:r>
            <w:r>
              <w:t xml:space="preserve"> </w:t>
            </w:r>
            <w:r>
              <w:t xml:space="preserve">(carbon-aware placement + per-job kWh/gCO2 metering),</w:t>
            </w:r>
            <w:r>
              <w:t xml:space="preserve"> </w:t>
            </w:r>
            <w:r>
              <w:rPr>
                <w:rStyle w:val="VerbatimChar"/>
              </w:rPr>
              <w:t xml:space="preserve">workloadrouter</w:t>
            </w:r>
            <w:r>
              <w:t xml:space="preserve"> </w:t>
            </w:r>
            <w:r>
              <w:t xml:space="preserve">(UnifiedManager concurrent-pricing weighted composite routing + TEE multiplier)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devicecatalog</w:t>
            </w:r>
            <w:r>
              <w:t xml:space="preserve"> </w:t>
            </w:r>
            <w:r>
              <w:t xml:space="preserve">(machine-readable device taxonomy → tier/trust/compute-class lookup),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(X25519 + ML-KEM-768 hybrid post-quantum key exchange),</w:t>
            </w:r>
            <w:r>
              <w:t xml:space="preserve"> </w:t>
            </w:r>
            <w:r>
              <w:rPr>
                <w:rStyle w:val="VerbatimChar"/>
              </w:rPr>
              <w:t xml:space="preserve">e2eebench</w:t>
            </w:r>
            <w:r>
              <w:t xml:space="preserve"> </w:t>
            </w:r>
            <w:r>
              <w:t xml:space="preserve">(hybridkex handshake-latency benchmark, median &lt;1ms),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(challenge/response + seal + multi-GPU node enumeration),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challenge),</w:t>
            </w:r>
            <w:r>
              <w:t xml:space="preserve"> </w:t>
            </w:r>
            <w:r>
              <w:rPr>
                <w:rStyle w:val="VerbatimChar"/>
              </w:rPr>
              <w:t xml:space="preserve">exportcontrol</w:t>
            </w:r>
            <w:r>
              <w:t xml:space="preserve"> </w:t>
            </w:r>
            <w:r>
              <w:t xml:space="preserve">(country-tier KYC gate on controlled-GPU node onboarding),</w:t>
            </w:r>
            <w:r>
              <w:t xml:space="preserve"> </w:t>
            </w:r>
            <w:r>
              <w:rPr>
                <w:rStyle w:val="VerbatimChar"/>
              </w:rPr>
              <w:t xml:space="preserve">compliancedoc</w:t>
            </w:r>
            <w:r>
              <w:t xml:space="preserve"> </w:t>
            </w:r>
            <w:r>
              <w:t xml:space="preserve">(EU AI Act model-card / provenance doc-gen from attestation logs)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(MarketplaceAdapter interface + Name()-dispatch registry + Chutes HTTP adapter),</w:t>
            </w:r>
            <w:r>
              <w:t xml:space="preserve"> </w:t>
            </w:r>
            <w:r>
              <w:rPr>
                <w:rStyle w:val="VerbatimChar"/>
              </w:rPr>
              <w:t xml:space="preserve">revenueopt</w:t>
            </w:r>
            <w:r>
              <w:t xml:space="preserve"> </w:t>
            </w:r>
            <w:r>
              <w:t xml:space="preserve">(greedy GPU→marketplace revenue maximiser, TEE→Chutes bias),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 </w:t>
            </w:r>
            <w:r>
              <w:t xml:space="preserve">(multi-token RewardDistributor with treasury/reinvest conservation + participant ROI/break-even),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 </w:t>
            </w:r>
            <w:r>
              <w:t xml:space="preserve">(+ tier/cost/provider-health series),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28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23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24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Start w:id="27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27"/>
    <w:bookmarkEnd w:id="28"/>
    <w:bookmarkStart w:id="29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29"/>
    <w:bookmarkStart w:id="30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5"/>
        </w:numPr>
      </w:pPr>
      <w:r>
        <w:t xml:space="preserve">Create a feature branch</w:t>
      </w:r>
    </w:p>
    <w:p>
      <w:pPr>
        <w:pStyle w:val="Compact"/>
        <w:numPr>
          <w:ilvl w:val="0"/>
          <w:numId w:val="1005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5"/>
        </w:numPr>
      </w:pPr>
      <w:r>
        <w:t xml:space="preserve">Commit and open a Pull Request</w:t>
      </w:r>
    </w:p>
    <w:bookmarkEnd w:id="30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3" Target="CODING_STANDARDS_C.md" TargetMode="External" /><Relationship Type="http://schemas.openxmlformats.org/officeDocument/2006/relationships/hyperlink" Id="rId22" Target="CODING_STANDARDS_GO.md" TargetMode="External" /><Relationship Type="http://schemas.openxmlformats.org/officeDocument/2006/relationships/hyperlink" Id="rId24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5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1" Target="LICENSE" TargetMode="External" /><Relationship Type="http://schemas.openxmlformats.org/officeDocument/2006/relationships/hyperlink" Id="rId20" Target="docs/FOUNDATION_PACKAGES.md" TargetMode="External" /><Relationship Type="http://schemas.openxmlformats.org/officeDocument/2006/relationships/hyperlink" Id="rId21" Target="docs/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3" Target="CODING_STANDARDS_C.md" TargetMode="External" /><Relationship Type="http://schemas.openxmlformats.org/officeDocument/2006/relationships/hyperlink" Id="rId22" Target="CODING_STANDARDS_GO.md" TargetMode="External" /><Relationship Type="http://schemas.openxmlformats.org/officeDocument/2006/relationships/hyperlink" Id="rId24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5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1" Target="LICENSE" TargetMode="External" /><Relationship Type="http://schemas.openxmlformats.org/officeDocument/2006/relationships/hyperlink" Id="rId20" Target="docs/FOUNDATION_PACKAGES.md" TargetMode="External" /><Relationship Type="http://schemas.openxmlformats.org/officeDocument/2006/relationships/hyperlink" Id="rId21" Target="docs/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