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2026-06-01T11:04:34Z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31c4490</w:t>
            </w:r>
          </w:p>
        </w:tc>
        <w:tc>
          <w:tcPr/>
          <w:p>
            <w:pPr>
              <w:pStyle w:val="Compact"/>
            </w:pPr>
            <w:r>
              <w:t xml:space="preserve">Phase 8B gaps: GPU pool manager, cost broker, burst hysteresis, local GPU TCO, provider adapter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8b04418</w:t>
            </w:r>
          </w:p>
        </w:tc>
        <w:tc>
          <w:tcPr/>
          <w:p>
            <w:pPr>
              <w:pStyle w:val="Compact"/>
            </w:pPr>
            <w:r>
              <w:t xml:space="preserve">Phase 8 gaps: chutes inference client+SSE+crypto seams, marketplace adapter+scorer, GPU dual-class reservation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2026-06-01T11:04:34Z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