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4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2026-05-30T20:09:59Z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Summary statistics for completed work on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 covenant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completed items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completion %</w:t>
            </w:r>
          </w:p>
        </w:tc>
        <w:tc>
          <w:tcPr/>
          <w:p>
            <w:pPr>
              <w:pStyle w:val="Compact"/>
            </w:pPr>
            <w:r>
              <w:t xml:space="preserve">75% (15 of 20 total items)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by-type"/>
    <w:p>
      <w:pPr>
        <w:pStyle w:val="Heading2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33.3%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by-phase"/>
    <w:p>
      <w:pPr>
        <w:pStyle w:val="Heading2"/>
      </w:pPr>
      <w:r>
        <w:t xml:space="preserve">By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Foundation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HXC-001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Core Infrastructure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HXC-002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SWIM / WireGuard / Session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HXC-004, HXC-005, HXC-006, HXC-007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2-3 Scheduler / Aggregator / Backends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HXC-012, HXC-013, HXC-014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/ Governance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HXC-003, HXC-008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/ 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HXC-009, HXC-010, HXC-011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/ Tracking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HXC-015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by-month"/>
    <w:p>
      <w:pPr>
        <w:pStyle w:val="Heading2"/>
      </w:pPr>
      <w:r>
        <w:t xml:space="preserve">By Month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burn-down"/>
    <w:p>
      <w:pPr>
        <w:pStyle w:val="Heading2"/>
      </w:pPr>
      <w:r>
        <w:t xml:space="preserve">Burn-down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(Queued + In progress)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detailed completed work,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docs/fixed.md</w:t>
      </w:r>
      <w:r>
        <w:rPr>
          <w:i/>
          <w:iCs/>
        </w:rPr>
        <w:t xml:space="preserve">.</w:t>
      </w:r>
      <w:r>
        <w:t xml:space="preserve"> </w:t>
      </w:r>
      <w:r>
        <w:rPr>
          <w:i/>
          <w:iCs/>
        </w:rPr>
        <w:t xml:space="preserve">For active work,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docs/issues.md</w:t>
      </w:r>
      <w:r>
        <w:rPr>
          <w:i/>
          <w:iCs/>
        </w:rP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