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ARCHITECTURE</w:t>
      </w:r>
    </w:p>
    <w:bookmarkStart w:id="15" w:name="Xe54d2ea306b7f355e88a3d55a3b10056f203461"/>
    <w:p>
      <w:pPr>
        <w:pStyle w:val="Heading1"/>
      </w:pPr>
      <w:r>
        <w:t xml:space="preserve">Helix Cluster OS — Hardened Architecture &amp; Component Map</w:t>
      </w:r>
    </w:p>
    <w:p>
      <w:pPr>
        <w:pStyle w:val="BlockText"/>
      </w:pPr>
      <w:r>
        <w:rPr>
          <w:b/>
          <w:bCs/>
        </w:rPr>
        <w:t xml:space="preserve">HXC-1424.</w:t>
      </w:r>
      <w:r>
        <w:t xml:space="preserve"> </w:t>
      </w:r>
      <w:r>
        <w:t xml:space="preserve">This document is the canonical hardened architecture diagram and</w:t>
      </w:r>
      <w:r>
        <w:t xml:space="preserve"> </w:t>
      </w:r>
      <w:r>
        <w:t xml:space="preserve">component map. Every component named below links to its implementing package</w:t>
      </w:r>
      <w:r>
        <w:t xml:space="preserve"> </w:t>
      </w:r>
      <w:r>
        <w:t xml:space="preserve">(a real directory in this repository) and its originating gap / work-item ID.</w:t>
      </w:r>
      <w:r>
        <w:t xml:space="preserve"> </w:t>
      </w:r>
      <w:r>
        <w:t xml:space="preserve">The mapping is mechanically enforced: the doc-lint</w:t>
      </w:r>
      <w:r>
        <w:t xml:space="preserve"> </w:t>
      </w:r>
      <w:hyperlink r:id="rId9">
        <w:r>
          <w:rPr>
            <w:rStyle w:val="VerbatimChar"/>
          </w:rPr>
          <w:t xml:space="preserve">pkg/archlint</w:t>
        </w:r>
      </w:hyperlink>
      <w:r>
        <w:t xml:space="preserve"> </w:t>
      </w:r>
      <w:r>
        <w:t xml:space="preserve">parses the</w:t>
      </w:r>
      <w:r>
        <w:t xml:space="preserve"> </w:t>
      </w:r>
      <w:r>
        <w:rPr>
          <w:b/>
          <w:bCs/>
        </w:rPr>
        <w:t xml:space="preserve">Component Map</w:t>
      </w:r>
      <w:r>
        <w:t xml:space="preserve"> </w:t>
      </w:r>
      <w:r>
        <w:t xml:space="preserve">table and fails</w:t>
      </w:r>
      <w:r>
        <w:t xml:space="preserve"> </w:t>
      </w:r>
      <w:r>
        <w:t xml:space="preserve">the build if any mapped component points at a package path that does not exist</w:t>
      </w:r>
      <w:r>
        <w:t xml:space="preserve"> </w:t>
      </w:r>
      <w:r>
        <w:t xml:space="preserve">on disk. A component therefore cannot be documented here without a real</w:t>
      </w:r>
      <w:r>
        <w:t xml:space="preserve"> </w:t>
      </w:r>
      <w:r>
        <w:t xml:space="preserve">implementing package.</w:t>
      </w:r>
    </w:p>
    <w:bookmarkStart w:id="10" w:name="seven-layer-stack-l0l7"/>
    <w:p>
      <w:pPr>
        <w:pStyle w:val="Heading2"/>
      </w:pPr>
      <w:r>
        <w:t xml:space="preserve">Seven-layer stack (L0–L7)</w:t>
      </w:r>
    </w:p>
    <w:p>
      <w:pPr>
        <w:pStyle w:val="FirstParagraph"/>
      </w:pPr>
      <w:r>
        <w:t xml:space="preserve">Helix is organised as a seven-layer stack over a hardware substrate (L0),</w:t>
      </w:r>
      <w:r>
        <w:t xml:space="preserve"> </w:t>
      </w:r>
      <w:r>
        <w:t xml:space="preserve">coordinated via</w:t>
      </w:r>
      <w:r>
        <w:t xml:space="preserve"> </w:t>
      </w:r>
      <w:r>
        <w:rPr>
          <w:b/>
          <w:bCs/>
        </w:rPr>
        <w:t xml:space="preserve">SWIM gossip</w:t>
      </w:r>
      <w:r>
        <w:t xml:space="preserve"> </w:t>
      </w:r>
      <w:r>
        <w:t xml:space="preserve">for membership and</w:t>
      </w:r>
      <w:r>
        <w:t xml:space="preserve"> </w:t>
      </w:r>
      <w:r>
        <w:rPr>
          <w:b/>
          <w:bCs/>
        </w:rPr>
        <w:t xml:space="preserve">Raft</w:t>
      </w:r>
      <w:r>
        <w:t xml:space="preserve"> </w:t>
      </w:r>
      <w:r>
        <w:t xml:space="preserve">consensus for</w:t>
      </w:r>
      <w:r>
        <w:t xml:space="preserve"> </w:t>
      </w:r>
      <w:r>
        <w:t xml:space="preserve">strongly-consistent state, with an</w:t>
      </w:r>
      <w:r>
        <w:t xml:space="preserve"> </w:t>
      </w:r>
      <w:r>
        <w:rPr>
          <w:b/>
          <w:bCs/>
        </w:rPr>
        <w:t xml:space="preserve">Omega-model</w:t>
      </w:r>
      <w:r>
        <w:t xml:space="preserve"> </w:t>
      </w:r>
      <w:r>
        <w:t xml:space="preserve">two-level scheduler using</w:t>
      </w:r>
      <w:r>
        <w:t xml:space="preserve"> </w:t>
      </w:r>
      <w:r>
        <w:t xml:space="preserve">optimistic concurrency.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L7  Federation, Multi-cluster &amp; Observability                              │</w:t>
      </w:r>
      <w:r>
        <w:br/>
      </w:r>
      <w:r>
        <w:rPr>
          <w:rStyle w:val="VerbatimChar"/>
        </w:rPr>
        <w:t xml:space="preserve">│     federation · fedtopology · metrics(+tier/cost/provider) · tracing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L6  Control-plane Services (14 microservices)                              │</w:t>
      </w:r>
      <w:r>
        <w:br/>
      </w:r>
      <w:r>
        <w:rPr>
          <w:rStyle w:val="VerbatimChar"/>
        </w:rPr>
        <w:t xml:space="preserve">│     gateway · session · health · policy · llm · build · advisory · trust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L5  Secure Transport &amp; Networking                                          │</w:t>
      </w:r>
      <w:r>
        <w:br/>
      </w:r>
      <w:r>
        <w:rPr>
          <w:rStyle w:val="VerbatimChar"/>
        </w:rPr>
        <w:t xml:space="preserve">│     hybridkex(X25519+ML-KEM-768) · e2ee-proxy · wireguard · ice · hashslot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L4  Scheduling, Placement &amp; Economics                                      │</w:t>
      </w:r>
      <w:r>
        <w:br/>
      </w:r>
      <w:r>
        <w:rPr>
          <w:rStyle w:val="VerbatimChar"/>
        </w:rPr>
        <w:t xml:space="preserve">│     scheduler(Omega) · constraints · preempt · workloadrouter · carbonsched│</w:t>
      </w:r>
      <w:r>
        <w:br/>
      </w:r>
      <w:r>
        <w:rPr>
          <w:rStyle w:val="VerbatimChar"/>
        </w:rPr>
        <w:t xml:space="preserve">│     · marketplaceadapter · economics · revenueopt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L3  Consensus &amp; Replicated State                                           │</w:t>
      </w:r>
      <w:r>
        <w:br/>
      </w:r>
      <w:r>
        <w:rPr>
          <w:rStyle w:val="VerbatimChar"/>
        </w:rPr>
        <w:t xml:space="preserve">│     voting · mvcc · crdt · deltacrdt · antientropy · hlc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L2  Membership &amp; Discovery                                                 │</w:t>
      </w:r>
      <w:r>
        <w:br/>
      </w:r>
      <w:r>
        <w:rPr>
          <w:rStyle w:val="VerbatimChar"/>
        </w:rPr>
        <w:t xml:space="preserve">│     swim · discovery · scan · nattraversal · cellmesh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L1  Node lifecycle &amp; Boot                                                  │</w:t>
      </w:r>
      <w:r>
        <w:br/>
      </w:r>
      <w:r>
        <w:rPr>
          <w:rStyle w:val="VerbatimChar"/>
        </w:rPr>
        <w:t xml:space="preserve">│     node · console · helix-node · local(TCO)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L0  Hardware / Resource Substrate                                          │</w:t>
      </w:r>
      <w:r>
        <w:br/>
      </w:r>
      <w:r>
        <w:rPr>
          <w:rStyle w:val="VerbatimChar"/>
        </w:rPr>
        <w:t xml:space="preserve">│     resources · gpuattest · gpu · devicecatalog · capability · exportcontrol│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Each layer consumes only the layers beneath it. Cross-cutting concerns</w:t>
      </w:r>
      <w:r>
        <w:t xml:space="preserve"> </w:t>
      </w:r>
      <w:r>
        <w:t xml:space="preserve">(attestation, metrics, compliance) are surfaced as dedicated components rather</w:t>
      </w:r>
      <w:r>
        <w:t xml:space="preserve"> </w:t>
      </w:r>
      <w:r>
        <w:t xml:space="preserve">than threaded implicitly through every layer.</w:t>
      </w:r>
    </w:p>
    <w:bookmarkEnd w:id="10"/>
    <w:bookmarkStart w:id="11" w:name="component-map"/>
    <w:p>
      <w:pPr>
        <w:pStyle w:val="Heading2"/>
      </w:pPr>
      <w:r>
        <w:t xml:space="preserve">Component Map</w:t>
      </w:r>
    </w:p>
    <w:p>
      <w:pPr>
        <w:pStyle w:val="FirstParagraph"/>
      </w:pPr>
      <w:r>
        <w:t xml:space="preserve">The table is the machine-readable contract enforced by</w:t>
      </w:r>
      <w:r>
        <w:t xml:space="preserve"> </w:t>
      </w:r>
      <w:r>
        <w:rPr>
          <w:rStyle w:val="VerbatimChar"/>
        </w:rPr>
        <w:t xml:space="preserve">pkg/archlint</w:t>
      </w:r>
      <w:r>
        <w:t xml:space="preserve">. The</w:t>
      </w:r>
      <w:r>
        <w:t xml:space="preserve"> </w:t>
      </w:r>
      <w:r>
        <w:rPr>
          <w:b/>
          <w:bCs/>
        </w:rPr>
        <w:t xml:space="preserve">Package</w:t>
      </w:r>
      <w:r>
        <w:t xml:space="preserve"> </w:t>
      </w:r>
      <w:r>
        <w:t xml:space="preserve">column is a repository-relative path to the implementing Go package</w:t>
      </w:r>
      <w:r>
        <w:t xml:space="preserve"> </w:t>
      </w:r>
      <w:r>
        <w:t xml:space="preserve">(or submodule root). The</w:t>
      </w:r>
      <w:r>
        <w:t xml:space="preserve"> </w:t>
      </w:r>
      <w:r>
        <w:rPr>
          <w:b/>
          <w:bCs/>
        </w:rPr>
        <w:t xml:space="preserve">Origin</w:t>
      </w:r>
      <w:r>
        <w:t xml:space="preserve"> </w:t>
      </w:r>
      <w:r>
        <w:t xml:space="preserve">column records the HXC work-item / gap that</w:t>
      </w:r>
      <w:r>
        <w:t xml:space="preserve"> </w:t>
      </w:r>
      <w:r>
        <w:t xml:space="preserve">introduced or hardened the component.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probe &amp; sampling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pkg/resources</w:t>
            </w:r>
          </w:p>
        </w:tc>
        <w:tc>
          <w:tcPr/>
          <w:p>
            <w:pPr>
              <w:pStyle w:val="Compact"/>
            </w:pPr>
            <w:r>
              <w:t xml:space="preserve">HXC-1153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attestation crypto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pkg/gpuattest</w:t>
            </w:r>
          </w:p>
        </w:tc>
        <w:tc>
          <w:tcPr/>
          <w:p>
            <w:pPr>
              <w:pStyle w:val="Compact"/>
            </w:pPr>
            <w:r>
              <w:t xml:space="preserve">HXC-1434/1573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manager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internal/gpu</w:t>
            </w:r>
          </w:p>
        </w:tc>
        <w:tc>
          <w:tcPr/>
          <w:p>
            <w:pPr>
              <w:pStyle w:val="Compact"/>
            </w:pPr>
            <w:r>
              <w:t xml:space="preserve">HXC-1447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taxonomy catalogue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pkg/devicecatalog</w:t>
            </w:r>
          </w:p>
        </w:tc>
        <w:tc>
          <w:tcPr/>
          <w:p>
            <w:pPr>
              <w:pStyle w:val="Compact"/>
            </w:pPr>
            <w:r>
              <w:t xml:space="preserve">HXC-1331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negotiation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pkg/capability</w:t>
            </w:r>
          </w:p>
        </w:tc>
        <w:tc>
          <w:tcPr/>
          <w:p>
            <w:pPr>
              <w:pStyle w:val="Compact"/>
            </w:pPr>
            <w:r>
              <w:t xml:space="preserve">HXC-1305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Export-control KYC gate</w:t>
            </w:r>
          </w:p>
        </w:tc>
        <w:tc>
          <w:tcPr/>
          <w:p>
            <w:pPr>
              <w:pStyle w:val="Compact"/>
            </w:pPr>
            <w: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pkg/exportcontrol</w:t>
            </w:r>
          </w:p>
        </w:tc>
        <w:tc>
          <w:tcPr/>
          <w:p>
            <w:pPr>
              <w:pStyle w:val="Compact"/>
            </w:pPr>
            <w:r>
              <w:t xml:space="preserve">HXC-1482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agent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internal/node</w:t>
            </w:r>
          </w:p>
        </w:tc>
        <w:tc>
          <w:tcPr/>
          <w:p>
            <w:pPr>
              <w:pStyle w:val="Compact"/>
            </w:pPr>
            <w:r>
              <w:t xml:space="preserve">HXC-1159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console / boot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internal/console</w:t>
            </w:r>
          </w:p>
        </w:tc>
        <w:tc>
          <w:tcPr/>
          <w:p>
            <w:pPr>
              <w:pStyle w:val="Compact"/>
            </w:pPr>
            <w:r>
              <w:t xml:space="preserve">HXC-1147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binary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cmd/helix-node</w:t>
            </w:r>
          </w:p>
        </w:tc>
        <w:tc>
          <w:tcPr/>
          <w:p>
            <w:pPr>
              <w:pStyle w:val="Compact"/>
            </w:pPr>
            <w:r>
              <w:t xml:space="preserve">HXC-1159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TCO accounting</w:t>
            </w:r>
          </w:p>
        </w:tc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pkg/local</w:t>
            </w:r>
          </w:p>
        </w:tc>
        <w:tc>
          <w:tcPr/>
          <w:p>
            <w:pPr>
              <w:pStyle w:val="Compact"/>
            </w:pPr>
            <w:r>
              <w:t xml:space="preserve">HXC-1583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SWIM gossip membership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pkg/swim</w:t>
            </w:r>
          </w:p>
        </w:tc>
        <w:tc>
          <w:tcPr/>
          <w:p>
            <w:pPr>
              <w:pStyle w:val="Compact"/>
            </w:pPr>
            <w:r>
              <w:t xml:space="preserve">HXC-1344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discovery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pkg/discovery</w:t>
            </w:r>
          </w:p>
        </w:tc>
        <w:tc>
          <w:tcPr/>
          <w:p>
            <w:pPr>
              <w:pStyle w:val="Compact"/>
            </w:pPr>
            <w:r>
              <w:t xml:space="preserve">HXC-1363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stable endpoint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pkg/scan</w:t>
            </w:r>
          </w:p>
        </w:tc>
        <w:tc>
          <w:tcPr/>
          <w:p>
            <w:pPr>
              <w:pStyle w:val="Compact"/>
            </w:pPr>
            <w:r>
              <w:t xml:space="preserve">HXC-1403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 traversal (STUN)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pkg/nattraversal</w:t>
            </w:r>
          </w:p>
        </w:tc>
        <w:tc>
          <w:tcPr/>
          <w:p>
            <w:pPr>
              <w:pStyle w:val="Compact"/>
            </w:pPr>
            <w:r>
              <w:t xml:space="preserve">HXC-1383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mesh</w:t>
            </w:r>
          </w:p>
        </w:tc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pkg/cellmesh</w:t>
            </w:r>
          </w:p>
        </w:tc>
        <w:tc>
          <w:tcPr/>
          <w:p>
            <w:pPr>
              <w:pStyle w:val="Compact"/>
            </w:pPr>
            <w:r>
              <w:t xml:space="preserve">HXC-1352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Largest-subcluster voting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pkg/voting</w:t>
            </w:r>
          </w:p>
        </w:tc>
        <w:tc>
          <w:tcPr/>
          <w:p>
            <w:pPr>
              <w:pStyle w:val="Compact"/>
            </w:pPr>
            <w:r>
              <w:t xml:space="preserve">HXC-1135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MVCC time-travel store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pkg/mvcc</w:t>
            </w:r>
          </w:p>
        </w:tc>
        <w:tc>
          <w:tcPr/>
          <w:p>
            <w:pPr>
              <w:pStyle w:val="Compact"/>
            </w:pPr>
            <w:r>
              <w:t xml:space="preserve">HXC-1238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CRDT state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pkg/crdt</w:t>
            </w:r>
          </w:p>
        </w:tc>
        <w:tc>
          <w:tcPr/>
          <w:p>
            <w:pPr>
              <w:pStyle w:val="Compact"/>
            </w:pPr>
            <w:r>
              <w:t xml:space="preserve">HXC-1240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Delta-state CRDTs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pkg/deltacrdt</w:t>
            </w:r>
          </w:p>
        </w:tc>
        <w:tc>
          <w:tcPr/>
          <w:p>
            <w:pPr>
              <w:pStyle w:val="Compact"/>
            </w:pPr>
            <w:r>
              <w:t xml:space="preserve">HXC-1409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Anti-entropy repair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pkg/antientropy</w:t>
            </w:r>
          </w:p>
        </w:tc>
        <w:tc>
          <w:tcPr/>
          <w:p>
            <w:pPr>
              <w:pStyle w:val="Compact"/>
            </w:pPr>
            <w:r>
              <w:t xml:space="preserve">HXC-1241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logical clock</w:t>
            </w:r>
          </w:p>
        </w:tc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pkg/hlc</w:t>
            </w:r>
          </w:p>
        </w:tc>
        <w:tc>
          <w:tcPr/>
          <w:p>
            <w:pPr>
              <w:pStyle w:val="Compact"/>
            </w:pPr>
            <w:r>
              <w:t xml:space="preserve">HXC-1239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Omega scheduler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pkg/scheduler</w:t>
            </w:r>
          </w:p>
        </w:tc>
        <w:tc>
          <w:tcPr/>
          <w:p>
            <w:pPr>
              <w:pStyle w:val="Compact"/>
            </w:pPr>
            <w:r>
              <w:t xml:space="preserve">HXC-1137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service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internal/scheduler</w:t>
            </w:r>
          </w:p>
        </w:tc>
        <w:tc>
          <w:tcPr/>
          <w:p>
            <w:pPr>
              <w:pStyle w:val="Compact"/>
            </w:pPr>
            <w:r>
              <w:t xml:space="preserve">HXC-1137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Placement constraints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pkg/constraints</w:t>
            </w:r>
          </w:p>
        </w:tc>
        <w:tc>
          <w:tcPr/>
          <w:p>
            <w:pPr>
              <w:pStyle w:val="Compact"/>
            </w:pPr>
            <w:r>
              <w:t xml:space="preserve">HXC-1136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Preemption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pkg/preempt</w:t>
            </w:r>
          </w:p>
        </w:tc>
        <w:tc>
          <w:tcPr/>
          <w:p>
            <w:pPr>
              <w:pStyle w:val="Compact"/>
            </w:pPr>
            <w:r>
              <w:t xml:space="preserve">HXC-1136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router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pkg/workloadrouter</w:t>
            </w:r>
          </w:p>
        </w:tc>
        <w:tc>
          <w:tcPr/>
          <w:p>
            <w:pPr>
              <w:pStyle w:val="Compact"/>
            </w:pPr>
            <w:r>
              <w:t xml:space="preserve">HXC-1455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Carbon-aware placement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pkg/carbonsched</w:t>
            </w:r>
          </w:p>
        </w:tc>
        <w:tc>
          <w:tcPr/>
          <w:p>
            <w:pPr>
              <w:pStyle w:val="Compact"/>
            </w:pPr>
            <w:r>
              <w:t xml:space="preserve">HXC-1480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adapter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pkg/marketplaceadapter</w:t>
            </w:r>
          </w:p>
        </w:tc>
        <w:tc>
          <w:tcPr/>
          <w:p>
            <w:pPr>
              <w:pStyle w:val="Compact"/>
            </w:pPr>
            <w:r>
              <w:t xml:space="preserve">HXC-1454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 economics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pkg/economics</w:t>
            </w:r>
          </w:p>
        </w:tc>
        <w:tc>
          <w:tcPr/>
          <w:p>
            <w:pPr>
              <w:pStyle w:val="Compact"/>
            </w:pPr>
            <w:r>
              <w:t xml:space="preserve">HXC-1460/1461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optimiser</w:t>
            </w:r>
          </w:p>
        </w:tc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pkg/revenueopt</w:t>
            </w:r>
          </w:p>
        </w:tc>
        <w:tc>
          <w:tcPr/>
          <w:p>
            <w:pPr>
              <w:pStyle w:val="Compact"/>
            </w:pPr>
            <w:r>
              <w:t xml:space="preserve">HXC-1456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PQ key exchange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pkg/hybridkex</w:t>
            </w:r>
          </w:p>
        </w:tc>
        <w:tc>
          <w:tcPr/>
          <w:p>
            <w:pPr>
              <w:pStyle w:val="Compact"/>
            </w:pPr>
            <w:r>
              <w:t xml:space="preserve">HXC-1476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E2EE proxy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cmd/e2ee-proxy</w:t>
            </w:r>
          </w:p>
        </w:tc>
        <w:tc>
          <w:tcPr/>
          <w:p>
            <w:pPr>
              <w:pStyle w:val="Compact"/>
            </w:pPr>
            <w:r>
              <w:t xml:space="preserve">HXC-1532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mesh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internal/wireguard</w:t>
            </w:r>
          </w:p>
        </w:tc>
        <w:tc>
          <w:tcPr/>
          <w:p>
            <w:pPr>
              <w:pStyle w:val="Compact"/>
            </w:pPr>
            <w:r>
              <w:t xml:space="preserve">HXC-1163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 connectivity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pkg/ice</w:t>
            </w:r>
          </w:p>
        </w:tc>
        <w:tc>
          <w:tcPr/>
          <w:p>
            <w:pPr>
              <w:pStyle w:val="Compact"/>
            </w:pPr>
            <w:r>
              <w:t xml:space="preserve">HXC-1349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Hash-slot routing</w:t>
            </w:r>
          </w:p>
        </w:tc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pkg/hashslot</w:t>
            </w:r>
          </w:p>
        </w:tc>
        <w:tc>
          <w:tcPr/>
          <w:p>
            <w:pPr>
              <w:pStyle w:val="Compact"/>
            </w:pPr>
            <w:r>
              <w:t xml:space="preserve">HXC-1135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service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</w:t>
            </w:r>
          </w:p>
        </w:tc>
        <w:tc>
          <w:tcPr/>
          <w:p>
            <w:pPr>
              <w:pStyle w:val="Compact"/>
            </w:pPr>
            <w:r>
              <w:t xml:space="preserve">HXC-1469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service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internal/session</w:t>
            </w:r>
          </w:p>
        </w:tc>
        <w:tc>
          <w:tcPr/>
          <w:p>
            <w:pPr>
              <w:pStyle w:val="Compact"/>
            </w:pPr>
            <w:r>
              <w:t xml:space="preserve">HXC-1136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service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internal/health</w:t>
            </w:r>
          </w:p>
        </w:tc>
        <w:tc>
          <w:tcPr/>
          <w:p>
            <w:pPr>
              <w:pStyle w:val="Compact"/>
            </w:pPr>
            <w:r>
              <w:t xml:space="preserve">HXC-1484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service (OPA)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internal/policy</w:t>
            </w:r>
          </w:p>
        </w:tc>
        <w:tc>
          <w:tcPr/>
          <w:p>
            <w:pPr>
              <w:pStyle w:val="Compact"/>
            </w:pPr>
            <w:r>
              <w:t xml:space="preserve">HXC-1135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router service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internal/llm</w:t>
            </w:r>
          </w:p>
        </w:tc>
        <w:tc>
          <w:tcPr/>
          <w:p>
            <w:pPr>
              <w:pStyle w:val="Compact"/>
            </w:pPr>
            <w:r>
              <w:t xml:space="preserve">HXC-1470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service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internal/build</w:t>
            </w:r>
          </w:p>
        </w:tc>
        <w:tc>
          <w:tcPr/>
          <w:p>
            <w:pPr>
              <w:pStyle w:val="Compact"/>
            </w:pPr>
            <w:r>
              <w:t xml:space="preserve">HXC-904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Advisory engine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internal/advisory</w:t>
            </w:r>
          </w:p>
        </w:tc>
        <w:tc>
          <w:tcPr/>
          <w:p>
            <w:pPr>
              <w:pStyle w:val="Compact"/>
            </w:pPr>
            <w:r>
              <w:t xml:space="preserve">HXC-1126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service</w:t>
            </w:r>
          </w:p>
        </w:tc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internal/trust</w:t>
            </w:r>
          </w:p>
        </w:tc>
        <w:tc>
          <w:tcPr/>
          <w:p>
            <w:pPr>
              <w:pStyle w:val="Compact"/>
            </w:pPr>
            <w:r>
              <w:t xml:space="preserve">HXC-1135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Federation</w:t>
            </w:r>
          </w:p>
        </w:tc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pkg/federation</w:t>
            </w:r>
          </w:p>
        </w:tc>
        <w:tc>
          <w:tcPr/>
          <w:p>
            <w:pPr>
              <w:pStyle w:val="Compact"/>
            </w:pPr>
            <w:r>
              <w:t xml:space="preserve">HXC-1359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Federation topology</w:t>
            </w:r>
          </w:p>
        </w:tc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pkg/fedtopology</w:t>
            </w:r>
          </w:p>
        </w:tc>
        <w:tc>
          <w:tcPr/>
          <w:p>
            <w:pPr>
              <w:pStyle w:val="Compact"/>
            </w:pPr>
            <w:r>
              <w:t xml:space="preserve">HXC-1372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(+tier/cost/provider)</w:t>
            </w:r>
          </w:p>
        </w:tc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pkg/metrics</w:t>
            </w:r>
          </w:p>
        </w:tc>
        <w:tc>
          <w:tcPr/>
          <w:p>
            <w:pPr>
              <w:pStyle w:val="Compact"/>
            </w:pPr>
            <w:r>
              <w:t xml:space="preserve">HXC-1535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Distributed tracing</w:t>
            </w:r>
          </w:p>
        </w:tc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pkg/tracing</w:t>
            </w:r>
          </w:p>
        </w:tc>
        <w:tc>
          <w:tcPr/>
          <w:p>
            <w:pPr>
              <w:pStyle w:val="Compact"/>
            </w:pPr>
            <w:r>
              <w:t xml:space="preserve">HXC-1379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dashboards</w:t>
            </w:r>
          </w:p>
        </w:tc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pkg/grafanadash</w:t>
            </w:r>
          </w:p>
        </w:tc>
        <w:tc>
          <w:tcPr/>
          <w:p>
            <w:pPr>
              <w:pStyle w:val="Compact"/>
            </w:pPr>
            <w:r>
              <w:t xml:space="preserve">HXC-1551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doc-gen</w:t>
            </w:r>
          </w:p>
        </w:tc>
        <w:tc>
          <w:tcPr/>
          <w:p>
            <w:pPr>
              <w:pStyle w:val="Compact"/>
            </w:pPr>
            <w:r>
              <w:t xml:space="preserve">L7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pkg/compliancedoc</w:t>
            </w:r>
          </w:p>
        </w:tc>
        <w:tc>
          <w:tcPr/>
          <w:p>
            <w:pPr>
              <w:pStyle w:val="Compact"/>
            </w:pPr>
            <w:r>
              <w:t xml:space="preserve">HXC-1481</w:t>
            </w:r>
          </w:p>
        </w:tc>
      </w:tr>
    </w:tbl>
    <w:bookmarkEnd w:id="11"/>
    <w:bookmarkStart w:id="14" w:name="maintenance"/>
    <w:p>
      <w:pPr>
        <w:pStyle w:val="Heading2"/>
      </w:pPr>
      <w:r>
        <w:t xml:space="preserve">Maintenance</w:t>
      </w:r>
    </w:p>
    <w:p>
      <w:pPr>
        <w:pStyle w:val="FirstParagraph"/>
      </w:pPr>
      <w:r>
        <w:t xml:space="preserve">This map is kept in sync as components are added or hardened (CLAUDE-3 /</w:t>
      </w:r>
      <w:r>
        <w:t xml:space="preserve"> </w:t>
      </w:r>
      <w:r>
        <w:t xml:space="preserve">§11.4.106). When you add a control-plane component, add a row here with its real</w:t>
      </w:r>
      <w:r>
        <w:t xml:space="preserve"> </w:t>
      </w:r>
      <w:r>
        <w:t xml:space="preserve">package path;</w:t>
      </w:r>
      <w:r>
        <w:t xml:space="preserve"> </w:t>
      </w:r>
      <w:r>
        <w:rPr>
          <w:rStyle w:val="VerbatimChar"/>
        </w:rPr>
        <w:t xml:space="preserve">pkg/archlint</w:t>
      </w:r>
      <w:r>
        <w:t xml:space="preserve"> </w:t>
      </w:r>
      <w:r>
        <w:t xml:space="preserve">will fail CI if the path does not exist, and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keeps the rendered HTML/PDF/DOCX exports in sync. For the broader</w:t>
      </w:r>
      <w:r>
        <w:t xml:space="preserve"> </w:t>
      </w:r>
      <w:r>
        <w:t xml:space="preserve">foundation-library catalogue see</w:t>
      </w:r>
      <w:r>
        <w:t xml:space="preserve"> </w:t>
      </w:r>
      <w:hyperlink r:id="rId12">
        <w:r>
          <w:rPr>
            <w:rStyle w:val="VerbatimChar"/>
          </w:rPr>
          <w:t xml:space="preserve">FOUNDATION_PACKAGES.md</w:t>
        </w:r>
      </w:hyperlink>
      <w:r>
        <w:t xml:space="preserve">;</w:t>
      </w:r>
      <w:r>
        <w:t xml:space="preserve"> </w:t>
      </w:r>
      <w:r>
        <w:t xml:space="preserve">for the work-item registry see</w:t>
      </w:r>
      <w:r>
        <w:t xml:space="preserve"> </w:t>
      </w:r>
      <w:hyperlink r:id="rId13">
        <w:r>
          <w:rPr>
            <w:rStyle w:val="VerbatimChar"/>
          </w:rPr>
          <w:t xml:space="preserve">HXC_REGISTRY.md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pkg/archlint" TargetMode="External" /><Relationship Type="http://schemas.openxmlformats.org/officeDocument/2006/relationships/hyperlink" Id="rId12" Target="FOUNDATION_PACKAGES.md" TargetMode="External" /><Relationship Type="http://schemas.openxmlformats.org/officeDocument/2006/relationships/hyperlink" Id="rId13" Target="HXC_REGIST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pkg/archlint" TargetMode="External" /><Relationship Type="http://schemas.openxmlformats.org/officeDocument/2006/relationships/hyperlink" Id="rId12" Target="FOUNDATION_PACKAGES.md" TargetMode="External" /><Relationship Type="http://schemas.openxmlformats.org/officeDocument/2006/relationships/hyperlink" Id="rId13" Target="HXC_REGIST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