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FOUNDATION_PACKAGES</w:t>
      </w:r>
    </w:p>
    <w:bookmarkStart w:id="22" w:name="foundation-packages-pkg"/>
    <w:p>
      <w:pPr>
        <w:pStyle w:val="Heading1"/>
      </w:pPr>
      <w:r>
        <w:t xml:space="preserve">Foundation Packages (</w:t>
      </w:r>
      <w:r>
        <w:rPr>
          <w:rStyle w:val="VerbatimChar"/>
        </w:rPr>
        <w:t xml:space="preserve">pkg/</w:t>
      </w:r>
      <w:r>
        <w:t xml:space="preserve">)</w:t>
      </w:r>
    </w:p>
    <w:p>
      <w:pPr>
        <w:pStyle w:val="FirstParagraph"/>
      </w:pPr>
      <w:r>
        <w:t xml:space="preserve">This catalogue describes the pure-Go foundation library that the Helix control plane is built from. There are</w:t>
      </w:r>
      <w:r>
        <w:t xml:space="preserve"> </w:t>
      </w:r>
      <w:r>
        <w:rPr>
          <w:b/>
          <w:bCs/>
        </w:rPr>
        <w:t xml:space="preserve">126+ packages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(plus 19 private subsystems under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).</w:t>
      </w:r>
    </w:p>
    <w:p>
      <w:pPr>
        <w:pStyle w:val="BodyText"/>
      </w:pPr>
      <w:r>
        <w:t xml:space="preserve">Every foundation package follows the same engineering contract: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Pure Go, standard-library-first.</w:t>
      </w:r>
      <w:r>
        <w:t xml:space="preserve"> </w:t>
      </w:r>
      <w:r>
        <w:t xml:space="preserve">External dependencies are avoided; where an in-repo primitive is reused it is imported read-only.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Deterministic.</w:t>
      </w:r>
      <w:r>
        <w:t xml:space="preserve"> </w:t>
      </w:r>
      <w:r>
        <w:t xml:space="preserve">Clocks, randomness, and I/O sources are injected (interfaces / seeds / explicit ticks) so tests are reproducible. No</w:t>
      </w:r>
      <w:r>
        <w:t xml:space="preserve"> </w:t>
      </w:r>
      <w:r>
        <w:rPr>
          <w:rStyle w:val="VerbatimChar"/>
        </w:rPr>
        <w:t xml:space="preserve">time.Now()</w:t>
      </w:r>
      <w:r>
        <w:t xml:space="preserve"> </w:t>
      </w:r>
      <w:r>
        <w:t xml:space="preserve">inside logic under test.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Mutation-proven (CLAUDE-1).</w:t>
      </w:r>
      <w:r>
        <w:t xml:space="preserve"> </w:t>
      </w:r>
      <w:r>
        <w:t xml:space="preserve">Each package’s tests are designed to</w:t>
      </w:r>
      <w:r>
        <w:t xml:space="preserve"> </w:t>
      </w:r>
      <w:r>
        <w:rPr>
          <w:i/>
          <w:iCs/>
        </w:rPr>
        <w:t xml:space="preserve">fail</w:t>
      </w:r>
      <w:r>
        <w:t xml:space="preserve"> </w:t>
      </w:r>
      <w:r>
        <w:t xml:space="preserve">if the specific logic they cover is mutated — green tests over stubs or always-true conditions are forbidden. Items are not marked complete without an independent mutation bite confirming the guard is live.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Cross-platform parity (CLAUDE-2).</w:t>
      </w:r>
      <w:r>
        <w:t xml:space="preserve"> </w:t>
      </w:r>
      <w:r>
        <w:t xml:space="preserve">OS-specific capabilities use real native facilities per platform; there are no Linux-only mocks behind build tags for real-operation features.</w:t>
      </w:r>
    </w:p>
    <w:p>
      <w:r>
        <w:pict>
          <v:rect style="width:0;height:1.5pt" o:hralign="center" o:hrstd="t" o:hr="t"/>
        </w:pict>
      </w:r>
    </w:p>
    <w:bookmarkStart w:id="9" w:name="consensus-coordination"/>
    <w:p>
      <w:pPr>
        <w:pStyle w:val="Heading2"/>
      </w:pPr>
      <w:r>
        <w:t xml:space="preserve">Consensus &amp; Coordination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voting</w:t>
            </w:r>
          </w:p>
        </w:tc>
        <w:tc>
          <w:tcPr/>
          <w:p>
            <w:pPr>
              <w:pStyle w:val="Compact"/>
            </w:pPr>
            <w:r>
              <w:t xml:space="preserve">Largest-subcluster-wins quorum (3/2 survive+fence, 2/2 both-fence, TTL re-resolve).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failconfirm</w:t>
            </w:r>
          </w:p>
        </w:tc>
        <w:tc>
          <w:tcPr/>
          <w:p>
            <w:pPr>
              <w:pStyle w:val="Compact"/>
            </w:pPr>
            <w:r>
              <w:t xml:space="preserve">Redis-cluster two-phase failure confirmation (PFAIL→FAIL via distinct-reporter majority quorum, OnDead-once).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heartbeatcoalescer</w:t>
            </w:r>
          </w:p>
        </w:tc>
        <w:tc>
          <w:tcPr/>
          <w:p>
            <w:pPr>
              <w:pStyle w:val="Compact"/>
            </w:pPr>
            <w:r>
              <w:t xml:space="preserve">Multi-Raft per-peer heartbeat coalescing, O(shards·peers)→O(peers), liveness preserved.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</w:t>
            </w:r>
          </w:p>
        </w:tc>
        <w:tc>
          <w:tcPr/>
          <w:p>
            <w:pPr>
              <w:pStyle w:val="Compact"/>
            </w:pPr>
            <w:r>
              <w:t xml:space="preserve">Leadership and advisory locking primitives.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splitbrain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splitbrainalert</w:t>
            </w:r>
          </w:p>
        </w:tc>
        <w:tc>
          <w:tcPr/>
          <w:p>
            <w:pPr>
              <w:pStyle w:val="Compact"/>
            </w:pPr>
            <w:r>
              <w:t xml:space="preserve">Split-brain detection and alerting.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phasegate</w:t>
            </w:r>
          </w:p>
        </w:tc>
        <w:tc>
          <w:tcPr/>
          <w:p>
            <w:pPr>
              <w:pStyle w:val="Compact"/>
            </w:pPr>
            <w:r>
              <w:t xml:space="preserve">Sub-phase dependency-gate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epochresolve</w:t>
            </w:r>
          </w:p>
        </w:tc>
        <w:tc>
          <w:tcPr/>
          <w:p>
            <w:pPr>
              <w:pStyle w:val="Compact"/>
            </w:pPr>
            <w:r>
              <w:t xml:space="preserve">Config-epoch failover slot-ownership conflict resolution (highest-epoch wins, deterministic lexicographic equal-epoch tiebreak, order-independent convergence).</w:t>
            </w:r>
          </w:p>
        </w:tc>
      </w:tr>
    </w:tbl>
    <w:bookmarkEnd w:id="9"/>
    <w:bookmarkStart w:id="10" w:name="membership-discovery"/>
    <w:p>
      <w:pPr>
        <w:pStyle w:val="Heading2"/>
      </w:pPr>
      <w:r>
        <w:t xml:space="preserve">Membership &amp; Discovery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swim</w:t>
            </w:r>
          </w:p>
        </w:tc>
        <w:tc>
          <w:tcPr/>
          <w:p>
            <w:pPr>
              <w:pStyle w:val="Compact"/>
            </w:pPr>
            <w:r>
              <w:t xml:space="preserve">SWIM gossip membership with phi-accrual failure detection and hierarchical tiers.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discovery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discovery/federated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Service discovery, including federated cross-cell discovery.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nattraversal</w:t>
            </w:r>
          </w:p>
        </w:tc>
        <w:tc>
          <w:tcPr/>
          <w:p>
            <w:pPr>
              <w:pStyle w:val="Compact"/>
            </w:pPr>
            <w:r>
              <w:t xml:space="preserve">STUN-based NAT traversal.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ice</w:t>
            </w:r>
          </w:p>
        </w:tc>
        <w:tc>
          <w:tcPr/>
          <w:p>
            <w:pPr>
              <w:pStyle w:val="Compact"/>
            </w:pPr>
            <w:r>
              <w:t xml:space="preserve">ICE connectivity establishment.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cellmesh</w:t>
            </w:r>
          </w:p>
        </w:tc>
        <w:tc>
          <w:tcPr/>
          <w:p>
            <w:pPr>
              <w:pStyle w:val="Compact"/>
            </w:pPr>
            <w:r>
              <w:t xml:space="preserve">Cross-cell mesh networking.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</w:pPr>
            <w:r>
              <w:t xml:space="preserve">Oracle-SCAN-style stable virtual client endpoint: least-loaded healthy-backend routing with a membership-stable name and injected clock.</w:t>
            </w:r>
          </w:p>
        </w:tc>
      </w:tr>
    </w:tbl>
    <w:bookmarkEnd w:id="10"/>
    <w:bookmarkStart w:id="11" w:name="replication-state"/>
    <w:p>
      <w:pPr>
        <w:pStyle w:val="Heading2"/>
      </w:pPr>
      <w:r>
        <w:t xml:space="preserve">Replication &amp; State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crdt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crdt/merkle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LWW / OR-Set / G-Counter / PN-Counter / vector-clock CRDTs and Merkle anti-entropy trees.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mvcc</w:t>
            </w:r>
          </w:p>
        </w:tc>
        <w:tc>
          <w:tcPr/>
          <w:p>
            <w:pPr>
              <w:pStyle w:val="Compact"/>
            </w:pPr>
            <w:r>
              <w:t xml:space="preserve">MVCC revision store with a real B-tree index, time-travel reads, watch-from-revision, and compaction.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antientropy</w:t>
            </w:r>
          </w:p>
        </w:tc>
        <w:tc>
          <w:tcPr/>
          <w:p>
            <w:pPr>
              <w:pStyle w:val="Compact"/>
            </w:pPr>
            <w:r>
              <w:t xml:space="preserve">Cassandra-style 3-layer repair: hinted handoff, read repair, Merkle-tree diff (over in-memory replicas).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watchmanager</w:t>
            </w:r>
          </w:p>
        </w:tc>
        <w:tc>
          <w:tcPr/>
          <w:p>
            <w:pPr>
              <w:pStyle w:val="Compact"/>
            </w:pPr>
            <w:r>
              <w:t xml:space="preserve">etcd-style persistent watch manager with synced / unsynced / victim watcher groups.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hlc</w:t>
            </w:r>
          </w:p>
        </w:tc>
        <w:tc>
          <w:tcPr/>
          <w:p>
            <w:pPr>
              <w:pStyle w:val="Compact"/>
            </w:pPr>
            <w:r>
              <w:t xml:space="preserve">Hybrid logical clocks.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offlinesync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checkpoint_merge</w:t>
            </w:r>
          </w:p>
        </w:tc>
        <w:tc>
          <w:tcPr/>
          <w:p>
            <w:pPr>
              <w:pStyle w:val="Compact"/>
            </w:pPr>
            <w:r>
              <w:t xml:space="preserve">Offline delta sync and checkpoint merging.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tieredcache</w:t>
            </w:r>
          </w:p>
        </w:tc>
        <w:tc>
          <w:tcPr/>
          <w:p>
            <w:pPr>
              <w:pStyle w:val="Compact"/>
            </w:pPr>
            <w:r>
              <w:t xml:space="preserve">Hot(memory)/warm(NVMe)/cold(SSD) tiered cache with injected backends + injected clock, idle-demotion + promotion, and per-tier hit stats.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deltacrdt</w:t>
            </w:r>
          </w:p>
        </w:tc>
        <w:tc>
          <w:tcPr/>
          <w:p>
            <w:pPr>
              <w:pStyle w:val="Compact"/>
            </w:pPr>
            <w:r>
              <w:t xml:space="preserve">Standalone delta-state CRDTs (G-counter / PN-counter / observed-remove OR-set / LWW-map) with delta-mutators and a convergent (commutative/associative/idempotent) merge.</w:t>
            </w:r>
          </w:p>
        </w:tc>
      </w:tr>
    </w:tbl>
    <w:bookmarkEnd w:id="11"/>
    <w:bookmarkStart w:id="12" w:name="scheduling-placement"/>
    <w:p>
      <w:pPr>
        <w:pStyle w:val="Heading2"/>
      </w:pPr>
      <w:r>
        <w:t xml:space="preserve">Scheduling &amp; Placement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t xml:space="preserve">Omega-model two-level scheduler: ClassAd matching, gang scheduling (all-or-nothing), preemption, optimistic concurrency.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Pacemaker-style four-type constraint engine (location / colocation / order / stickiness).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preempt</w:t>
            </w:r>
          </w:p>
        </w:tc>
        <w:tc>
          <w:tcPr/>
          <w:p>
            <w:pPr>
              <w:pStyle w:val="Compact"/>
            </w:pPr>
            <w:r>
              <w:t xml:space="preserve">Value-multiplier (Gepetto) preemption with sole-global protection.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priorityqueue</w:t>
            </w:r>
          </w:p>
        </w:tc>
        <w:tc>
          <w:tcPr/>
          <w:p>
            <w:pPr>
              <w:pStyle w:val="Compact"/>
            </w:pPr>
            <w:r>
              <w:t xml:space="preserve">Multifactor composite priority (age + fairshare + size + QoS) with clock-driven aging.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backfill</w:t>
            </w:r>
          </w:p>
        </w:tc>
        <w:tc>
          <w:tcPr/>
          <w:p>
            <w:pPr>
              <w:pStyle w:val="Compact"/>
            </w:pPr>
            <w:r>
              <w:t xml:space="preserve">SLURM-style conservative backfill over an availability timeline.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workclaim</w:t>
            </w:r>
          </w:p>
        </w:tc>
        <w:tc>
          <w:tcPr/>
          <w:p>
            <w:pPr>
              <w:pStyle w:val="Compact"/>
            </w:pPr>
            <w:r>
              <w:t xml:space="preserve">SKIP-LOCKED-style optimistic work-claiming (exactly-once under contention).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admissioncontrol</w:t>
            </w:r>
          </w:p>
        </w:tc>
        <w:tc>
          <w:tcPr/>
          <w:p>
            <w:pPr>
              <w:pStyle w:val="Compact"/>
            </w:pPr>
            <w:r>
              <w:t xml:space="preserve">N+K capacity-reserve failover admission control.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budgetcap</w:t>
            </w:r>
          </w:p>
        </w:tc>
        <w:tc>
          <w:tcPr/>
          <w:p>
            <w:pPr>
              <w:pStyle w:val="Compact"/>
            </w:pPr>
            <w:r>
              <w:t xml:space="preserve">Global MaxCostPerHour budget cap on allocations.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qos</w:t>
            </w:r>
          </w:p>
        </w:tc>
        <w:tc>
          <w:tcPr/>
          <w:p>
            <w:pPr>
              <w:pStyle w:val="Compact"/>
            </w:pPr>
            <w:r>
              <w:t xml:space="preserve">QoS-tier routing (real-time / interactive / batch / best-effort).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suitability</w:t>
            </w:r>
          </w:p>
        </w:tc>
        <w:tc>
          <w:tcPr/>
          <w:p>
            <w:pPr>
              <w:pStyle w:val="Compact"/>
            </w:pPr>
            <w:r>
              <w:t xml:space="preserve">HPC-vs-inference workload classifier and placement routing.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ewmarank</w:t>
            </w:r>
          </w:p>
        </w:tc>
        <w:tc>
          <w:tcPr/>
          <w:p>
            <w:pPr>
              <w:pStyle w:val="Compact"/>
            </w:pPr>
            <w:r>
              <w:t xml:space="preserve">Utilization-aware EWMA candidate ranking with sticky-client routing.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fallbackchain</w:t>
            </w:r>
          </w:p>
        </w:tc>
        <w:tc>
          <w:tcPr/>
          <w:p>
            <w:pPr>
              <w:pStyle w:val="Compact"/>
            </w:pPr>
            <w:r>
              <w:t xml:space="preserve">Per-task ordered fallback chains with dedup, attempt cap, and empty-result handling.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providerchain</w:t>
            </w:r>
          </w:p>
        </w:tc>
        <w:tc>
          <w:tcPr/>
          <w:p>
            <w:pPr>
              <w:pStyle w:val="Compact"/>
            </w:pPr>
            <w:r>
              <w:t xml:space="preserve">Ordered multi-tier provider fallback cascade with retriable/terminal error classification and injected-clock failover SLA.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modelrouter</w:t>
            </w:r>
          </w:p>
        </w:tc>
        <w:tc>
          <w:tcPr/>
          <w:p>
            <w:pPr>
              <w:pStyle w:val="Compact"/>
            </w:pPr>
            <w:r>
              <w:t xml:space="preserve">Strategy-to-default-model resolution (latency / throughput / quality / cost) with a typed unknown-strategy error.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gepetto</w:t>
            </w:r>
          </w:p>
        </w:tc>
        <w:tc>
          <w:tcPr/>
          <w:p>
            <w:pPr>
              <w:pStyle w:val="Compact"/>
            </w:pPr>
            <w:r>
              <w:t xml:space="preserve">HelixGepetto dual-resource local-vs-Chutes arbitration with a monotonic reserve schedule and a strict</w:t>
            </w:r>
            <w:r>
              <w:t xml:space="preserve"> </w:t>
            </w:r>
            <w:r>
              <w:rPr>
                <w:rStyle w:val="VerbatimChar"/>
              </w:rPr>
              <w:t xml:space="preserve">&gt;0.80</w:t>
            </w:r>
            <w:r>
              <w:t xml:space="preserve"> </w:t>
            </w:r>
            <w:r>
              <w:t xml:space="preserve">high-water anti-starvation zero-capacity cut-off.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smartrouter</w:t>
            </w:r>
          </w:p>
        </w:tc>
        <w:tc>
          <w:tcPr/>
          <w:p>
            <w:pPr>
              <w:pStyle w:val="Compact"/>
            </w:pPr>
            <w:r>
              <w:t xml:space="preserve">Intelligent ModelRouter (latency / throughput / cost / TEE / balanced) that always excludes unhealthy models, with a typed no-eligible-model error.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llmfailover</w:t>
            </w:r>
          </w:p>
        </w:tc>
        <w:tc>
          <w:tcPr/>
          <w:p>
            <w:pPr>
              <w:pStyle w:val="Compact"/>
            </w:pPr>
            <w:r>
              <w:t xml:space="preserve">Error-classified LLM failover taxonomy (deterministic per-class fallback paths) plus a sandbox scheduling-hint contract.</w:t>
            </w:r>
          </w:p>
        </w:tc>
      </w:tr>
    </w:tbl>
    <w:bookmarkEnd w:id="12"/>
    <w:bookmarkStart w:id="13" w:name="gpu-resource-cost-management"/>
    <w:p>
      <w:pPr>
        <w:pStyle w:val="Heading2"/>
      </w:pPr>
      <w:r>
        <w:t xml:space="preserve">GPU, Resource &amp; Cost Management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pool</w:t>
            </w:r>
          </w:p>
        </w:tc>
        <w:tc>
          <w:tcPr/>
          <w:p>
            <w:pPr>
              <w:pStyle w:val="Compact"/>
            </w:pPr>
            <w:r>
              <w:t xml:space="preserve">Node/instance pool manager with a</w:t>
            </w:r>
            <w:r>
              <w:t xml:space="preserve"> </w:t>
            </w:r>
            <w:r>
              <w:rPr>
                <w:rStyle w:val="VerbatimChar"/>
              </w:rPr>
              <w:t xml:space="preserve">GPUProvider</w:t>
            </w:r>
            <w:r>
              <w:t xml:space="preserve"> </w:t>
            </w:r>
            <w:r>
              <w:t xml:space="preserve">provisioning seam.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Local GPU TCO model (amortized capital + power, utilization-scaled).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latencysched</w:t>
            </w:r>
          </w:p>
        </w:tc>
        <w:tc>
          <w:tcPr/>
          <w:p>
            <w:pPr>
              <w:pStyle w:val="Compact"/>
            </w:pPr>
            <w:r>
              <w:t xml:space="preserve">Cost-aware and latency-aware schedulers.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healthmonitor</w:t>
            </w:r>
          </w:p>
        </w:tc>
        <w:tc>
          <w:tcPr/>
          <w:p>
            <w:pPr>
              <w:pStyle w:val="Compact"/>
            </w:pPr>
            <w:r>
              <w:t xml:space="preserve">Edge-triggered health transitions with auto-failover / recovery callbacks.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healthprobe</w:t>
            </w:r>
          </w:p>
        </w:tc>
        <w:tc>
          <w:tcPr/>
          <w:p>
            <w:pPr>
              <w:pStyle w:val="Compact"/>
            </w:pPr>
            <w:r>
              <w:t xml:space="preserve">Startup / readiness / liveness probe tiers with a startup grace period.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gpuattest</w:t>
            </w:r>
          </w:p>
        </w:tc>
        <w:tc>
          <w:tcPr/>
          <w:p>
            <w:pPr>
              <w:pStyle w:val="Compact"/>
            </w:pPr>
            <w:r>
              <w:t xml:space="preserve">Device attestation crypto: challenge/response + fingerprint, seeded-matmul proof-of-GPU-work, O(1) Merkle spot-check, device-sealed AES-GCM/HKDF.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attestadmit</w:t>
            </w:r>
          </w:p>
        </w:tc>
        <w:tc>
          <w:tcPr/>
          <w:p>
            <w:pPr>
              <w:pStyle w:val="Compact"/>
            </w:pPr>
            <w:r>
              <w:t xml:space="preserve">Attestation-gated scheduler admission predicate (uses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quantization</w:t>
            </w:r>
          </w:p>
        </w:tc>
        <w:tc>
          <w:tcPr/>
          <w:p>
            <w:pPr>
              <w:pStyle w:val="Compact"/>
            </w:pPr>
            <w:r>
              <w:t xml:space="preserve">Per-tier model-variant selection (memory-fit + backend-support gates).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devicemap</w:t>
            </w:r>
          </w:p>
        </w:tc>
        <w:tc>
          <w:tcPr/>
          <w:p>
            <w:pPr>
              <w:pStyle w:val="Compact"/>
            </w:pPr>
            <w:r>
              <w:t xml:space="preserve">Capability negotiation and device profiling.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devicecatalog</w:t>
            </w:r>
          </w:p>
        </w:tc>
        <w:tc>
          <w:tcPr/>
          <w:p>
            <w:pPr>
              <w:pStyle w:val="Compact"/>
            </w:pPr>
            <w:r>
              <w:t xml:space="preserve">Machine-readable 64-device taxonomy with case-insensitive substring</w:t>
            </w:r>
            <w:r>
              <w:t xml:space="preserve"> </w:t>
            </w:r>
            <w:r>
              <w:rPr>
                <w:rStyle w:val="VerbatimChar"/>
              </w:rPr>
              <w:t xml:space="preserve">Lookup</w:t>
            </w:r>
            <w:r>
              <w:t xml:space="preserve"> </w:t>
            </w:r>
            <w:r>
              <w:t xml:space="preserve">resolving a discovered CPU model (e.g. </w:t>
            </w:r>
            <w:r>
              <w:rPr>
                <w:rStyle w:val="VerbatimChar"/>
              </w:rPr>
              <w:t xml:space="preserve">Rockchip RK3588</w:t>
            </w:r>
            <w:r>
              <w:t xml:space="preserve">) to its tier / trust-level / compute-class.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tierdef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tiersec</w:t>
            </w:r>
          </w:p>
        </w:tc>
        <w:tc>
          <w:tcPr/>
          <w:p>
            <w:pPr>
              <w:pStyle w:val="Compact"/>
            </w:pPr>
            <w:r>
              <w:t xml:space="preserve">Tier definitions and tier security.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cloudspot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marketplace</w:t>
            </w:r>
          </w:p>
        </w:tc>
        <w:tc>
          <w:tcPr/>
          <w:p>
            <w:pPr>
              <w:pStyle w:val="Compact"/>
            </w:pPr>
            <w:r>
              <w:t xml:space="preserve">Burst-to-cloud autoscaling, spot pricing, and compute marketplace.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revenueopt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RevenueOptimizer.OptimizeAllocation</w:t>
            </w:r>
            <w:r>
              <w:t xml:space="preserve"> </w:t>
            </w:r>
            <w:r>
              <w:t xml:space="preserve">greedy GPU→marketplace assignment maximising expected revenue, with a TEE→Chutes revenue bias.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carbonsched</w:t>
            </w:r>
          </w:p>
        </w:tc>
        <w:tc>
          <w:tcPr/>
          <w:p>
            <w:pPr>
              <w:pStyle w:val="Compact"/>
            </w:pPr>
            <w:r>
              <w:t xml:space="preserve">Carbon-aware job placement: selects the lowest-carbon-intensity latency-eligible region (deterministic name tiebreak) with per-job kWh / gCO2 metering.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RewardDistributor</w:t>
            </w:r>
            <w:r>
              <w:t xml:space="preserve"> </w:t>
            </w:r>
            <w:r>
              <w:t xml:space="preserve">multi-token distribution with treasury/reinvest splits and a conservation invariant, plus</w:t>
            </w:r>
            <w:r>
              <w:t xml:space="preserve"> </w:t>
            </w:r>
            <w:r>
              <w:rPr>
                <w:rStyle w:val="VerbatimChar"/>
              </w:rPr>
              <w:t xml:space="preserve">GetParticipantROI</w:t>
            </w:r>
            <w:r>
              <w:t xml:space="preserve"> </w:t>
            </w:r>
            <w:r>
              <w:t xml:space="preserve">(ROI% + break-even days, typed unknown-participant error).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bursthysteresis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BurstController</w:t>
            </w:r>
            <w:r>
              <w:t xml:space="preserve"> </w:t>
            </w:r>
            <w:r>
              <w:t xml:space="preserve">with a MONITOR→SPILL→RECOVER two-threshold hysteresis dead-band.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SUPPORTED_GPUS</w:t>
            </w:r>
            <w:r>
              <w:t xml:space="preserve"> </w:t>
            </w:r>
            <w:r>
              <w:t xml:space="preserve">compute-multiplier catalog,</w:t>
            </w:r>
            <w:r>
              <w:t xml:space="preserve"> </w:t>
            </w:r>
            <w:r>
              <w:rPr>
                <w:rStyle w:val="VerbatimChar"/>
              </w:rPr>
              <w:t xml:space="preserve">LookupMultiplier</w:t>
            </w:r>
            <w:r>
              <w:t xml:space="preserve">, and attestation-aware</w:t>
            </w:r>
            <w:r>
              <w:t xml:space="preserve"> </w:t>
            </w:r>
            <w:r>
              <w:rPr>
                <w:rStyle w:val="VerbatimChar"/>
              </w:rPr>
              <w:t xml:space="preserve">Score</w:t>
            </w:r>
            <w:r>
              <w:t xml:space="preserve"> </w:t>
            </w:r>
            <w:r>
              <w:t xml:space="preserve">(attested scores rank above un-attested).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gputopo</w:t>
            </w:r>
          </w:p>
        </w:tc>
        <w:tc>
          <w:tcPr/>
          <w:p>
            <w:pPr>
              <w:pStyle w:val="Compact"/>
            </w:pPr>
            <w:r>
              <w:t xml:space="preserve">Topology-aware NUMA/NVLink GPU placement scoring that prefers NVLink-connected GPU pairs and falls back to PCIe.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balancemonitor</w:t>
            </w:r>
          </w:p>
        </w:tc>
        <w:tc>
          <w:tcPr/>
          <w:p>
            <w:pPr>
              <w:pStyle w:val="Compact"/>
            </w:pPr>
            <w:r>
              <w:t xml:space="preserve">USD account-balance monitor with a strict low-balance floor warning, over HTTP with</w:t>
            </w:r>
            <w:r>
              <w:t xml:space="preserve"> </w:t>
            </w:r>
            <w:r>
              <w:rPr>
                <w:rStyle w:val="VerbatimChar"/>
              </w:rPr>
              <w:t xml:space="preserve">Authorization: Bearer</w:t>
            </w:r>
            <w:r>
              <w:t xml:space="preserve">.</w:t>
            </w:r>
          </w:p>
        </w:tc>
      </w:tr>
    </w:tbl>
    <w:bookmarkEnd w:id="13"/>
    <w:bookmarkStart w:id="14" w:name="federation-multi-cluster"/>
    <w:p>
      <w:pPr>
        <w:pStyle w:val="Heading2"/>
      </w:pPr>
      <w:r>
        <w:t xml:space="preserve">Federation &amp; Multi-cluster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federation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federation/suspicion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Federation membership and suspicion.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fedtopology</w:t>
            </w:r>
          </w:p>
        </w:tc>
        <w:tc>
          <w:tcPr/>
          <w:p>
            <w:pPr>
              <w:pStyle w:val="Compact"/>
            </w:pPr>
            <w:r>
              <w:t xml:space="preserve">Federation topology patterns.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fedtrust</w:t>
            </w:r>
          </w:p>
        </w:tc>
        <w:tc>
          <w:tcPr/>
          <w:p>
            <w:pPr>
              <w:pStyle w:val="Compact"/>
            </w:pPr>
            <w:r>
              <w:t xml:space="preserve">Cross-cluster federated-trust admission.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configsync</w:t>
            </w:r>
          </w:p>
        </w:tc>
        <w:tc>
          <w:tcPr/>
          <w:p>
            <w:pPr>
              <w:pStyle w:val="Compact"/>
            </w:pPr>
            <w:r>
              <w:t xml:space="preserve">CRDT (LWW) config synchronisation.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residency</w:t>
            </w:r>
          </w:p>
        </w:tc>
        <w:tc>
          <w:tcPr/>
          <w:p>
            <w:pPr>
              <w:pStyle w:val="Compact"/>
            </w:pPr>
            <w:r>
              <w:t xml:space="preserve">Data-residency admission evaluation.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raftprofile</w:t>
            </w:r>
          </w:p>
        </w:tc>
        <w:tc>
          <w:tcPr/>
          <w:p>
            <w:pPr>
              <w:pStyle w:val="Compact"/>
            </w:pPr>
            <w:r>
              <w:t xml:space="preserve">etcd Raft WAN tuning profiles.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</w:p>
        </w:tc>
        <w:tc>
          <w:tcPr/>
          <w:p>
            <w:pPr>
              <w:pStyle w:val="Compact"/>
            </w:pPr>
            <w:r>
              <w:t xml:space="preserve">SPIFFE federation (mTLS + x509) and double-encryption.</w:t>
            </w:r>
          </w:p>
        </w:tc>
      </w:tr>
    </w:tbl>
    <w:bookmarkEnd w:id="14"/>
    <w:bookmarkStart w:id="15" w:name="messaging-flow-routing"/>
    <w:p>
      <w:pPr>
        <w:pStyle w:val="Heading2"/>
      </w:pPr>
      <w:r>
        <w:t xml:space="preserve">Messaging, Flow &amp; Routing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flowcontrol</w:t>
            </w:r>
          </w:p>
        </w:tc>
        <w:tc>
          <w:tcPr/>
          <w:p>
            <w:pPr>
              <w:pStyle w:val="Compact"/>
            </w:pPr>
            <w:r>
              <w:t xml:space="preserve">Kubernetes API Priority &amp; Fairness (FlowSchema → PriorityLevel → fair queues).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workqueue</w:t>
            </w:r>
          </w:p>
        </w:tc>
        <w:tc>
          <w:tcPr/>
          <w:p>
            <w:pPr>
              <w:pStyle w:val="Compact"/>
            </w:pPr>
            <w:r>
              <w:t xml:space="preserve">Rate-limited work queue with exponential backoff and dedup.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</w:t>
            </w:r>
          </w:p>
        </w:tc>
        <w:tc>
          <w:tcPr/>
          <w:p>
            <w:pPr>
              <w:pStyle w:val="Compact"/>
            </w:pPr>
            <w:r>
              <w:t xml:space="preserve">Rate limiting, exponential backoff, retry.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idempotent</w:t>
            </w:r>
          </w:p>
        </w:tc>
        <w:tc>
          <w:tcPr/>
          <w:p>
            <w:pPr>
              <w:pStyle w:val="Compact"/>
            </w:pPr>
            <w:r>
              <w:t xml:space="preserve">Exactly-once producer via producer-id + sequence.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rebalance</w:t>
            </w:r>
          </w:p>
        </w:tc>
        <w:tc>
          <w:tcPr/>
          <w:p>
            <w:pPr>
              <w:pStyle w:val="Compact"/>
            </w:pPr>
            <w:r>
              <w:t xml:space="preserve">Kafka cooperative-sticky incremental partition rebalancing.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informer</w:t>
            </w:r>
          </w:p>
        </w:tc>
        <w:tc>
          <w:tcPr/>
          <w:p>
            <w:pPr>
              <w:pStyle w:val="Compact"/>
            </w:pPr>
            <w:r>
              <w:t xml:space="preserve">Informer-style list-watch local cache with indexers and resync.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redundantexec</w:t>
            </w:r>
          </w:p>
        </w:tc>
        <w:tc>
          <w:tcPr/>
          <w:p>
            <w:pPr>
              <w:pStyle w:val="Compact"/>
            </w:pPr>
            <w:r>
              <w:t xml:space="preserve">BOINC-style redundant-execution trust scorer.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hashslot</w:t>
            </w:r>
          </w:p>
        </w:tc>
        <w:tc>
          <w:tcPr/>
          <w:p>
            <w:pPr>
              <w:pStyle w:val="Compact"/>
            </w:pPr>
            <w:r>
              <w:t xml:space="preserve">CRC16 16,384 hash-slot router with MOVED/ASK in-flight migration redirection.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slotmigration</w:t>
            </w:r>
          </w:p>
        </w:tc>
        <w:tc>
          <w:tcPr/>
          <w:p>
            <w:pPr>
              <w:pStyle w:val="Compact"/>
            </w:pPr>
            <w:r>
              <w:t xml:space="preserve">Atomic live-session slot migration FSM (PREPARE → TRANSFER → COMMIT/ABORT).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pubsub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serde</w:t>
            </w:r>
          </w:p>
        </w:tc>
        <w:tc>
          <w:tcPr/>
          <w:p>
            <w:pPr>
              <w:pStyle w:val="Compact"/>
            </w:pPr>
            <w:r>
              <w:t xml:space="preserve">Framed transport, pub/sub, events, serialization.</w:t>
            </w:r>
          </w:p>
        </w:tc>
      </w:tr>
    </w:tbl>
    <w:bookmarkEnd w:id="15"/>
    <w:bookmarkStart w:id="16" w:name="edge"/>
    <w:p>
      <w:pPr>
        <w:pStyle w:val="Heading2"/>
      </w:pPr>
      <w:r>
        <w:t xml:space="preserve">Edge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</w:t>
            </w:r>
          </w:p>
        </w:tc>
        <w:tc>
          <w:tcPr/>
          <w:p>
            <w:pPr>
              <w:pStyle w:val="Compact"/>
            </w:pPr>
            <w:r>
              <w:t xml:space="preserve">Edge restriction, schedule rules, trust, and work units.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edgeregistry</w:t>
            </w:r>
          </w:p>
        </w:tc>
        <w:tc>
          <w:tcPr/>
          <w:p>
            <w:pPr>
              <w:pStyle w:val="Compact"/>
            </w:pPr>
            <w:r>
              <w:t xml:space="preserve">Multi-tier (T3–T8) edge device registration with tier/trust/capability labels.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edgeverify</w:t>
            </w:r>
          </w:p>
        </w:tc>
        <w:tc>
          <w:tcPr/>
          <w:p>
            <w:pPr>
              <w:pStyle w:val="Compact"/>
            </w:pPr>
            <w:r>
              <w:t xml:space="preserve">Redundant edge-output verification against a trusted anchor via SHA-256 checksum.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edgefusion</w:t>
            </w:r>
          </w:p>
        </w:tc>
        <w:tc>
          <w:tcPr/>
          <w:p>
            <w:pPr>
              <w:pStyle w:val="Compact"/>
            </w:pPr>
            <w:r>
              <w:t xml:space="preserve">Edge data fusion.</w:t>
            </w:r>
          </w:p>
        </w:tc>
      </w:tr>
    </w:tbl>
    <w:bookmarkEnd w:id="16"/>
    <w:bookmarkStart w:id="17" w:name="security-verification"/>
    <w:p>
      <w:pPr>
        <w:pStyle w:val="Heading2"/>
      </w:pPr>
      <w:r>
        <w:t xml:space="preserve">Security &amp;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crypto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jwt</w:t>
            </w:r>
          </w:p>
        </w:tc>
        <w:tc>
          <w:tcPr/>
          <w:p>
            <w:pPr>
              <w:pStyle w:val="Compact"/>
            </w:pPr>
            <w:r>
              <w:t xml:space="preserve">Cryptographic primitives and JWT auth.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modelintegrity</w:t>
            </w:r>
          </w:p>
        </w:tc>
        <w:tc>
          <w:tcPr/>
          <w:p>
            <w:pPr>
              <w:pStyle w:val="Compact"/>
            </w:pPr>
            <w:r>
              <w:t xml:space="preserve">HF-cache verification gate (SHA-256 +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gravaladmit</w:t>
            </w:r>
          </w:p>
        </w:tc>
        <w:tc>
          <w:tcPr/>
          <w:p>
            <w:pPr>
              <w:pStyle w:val="Compact"/>
            </w:pPr>
            <w:r>
              <w:t xml:space="preserve">HMAC-SHA256 GraVal challenge-response provider admission gate with single-use nonce and a</w:t>
            </w:r>
            <w:r>
              <w:t xml:space="preserve"> </w:t>
            </w:r>
            <w:r>
              <w:rPr>
                <w:rStyle w:val="VerbatimChar"/>
              </w:rPr>
              <w:t xml:space="preserve">graval.verified</w:t>
            </w:r>
            <w:r>
              <w:t xml:space="preserve"> </w:t>
            </w:r>
            <w:r>
              <w:t xml:space="preserve">label.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gravalverify</w:t>
            </w:r>
          </w:p>
        </w:tc>
        <w:tc>
          <w:tcPr/>
          <w:p>
            <w:pPr>
              <w:pStyle w:val="Compact"/>
            </w:pPr>
            <w:r>
              <w:t xml:space="preserve">GraVal GPU attestation with a VRAM-ratio</w:t>
            </w:r>
            <w:r>
              <w:t xml:space="preserve"> </w:t>
            </w:r>
            <w:r>
              <w:rPr>
                <w:rStyle w:val="VerbatimChar"/>
              </w:rPr>
              <w:t xml:space="preserve">&gt;= 0.95</w:t>
            </w:r>
            <w:r>
              <w:t xml:space="preserve"> </w:t>
            </w:r>
            <w:r>
              <w:t xml:space="preserve">gate and a concurrent, race-clean</w:t>
            </w:r>
            <w:r>
              <w:t xml:space="preserve"> </w:t>
            </w:r>
            <w:r>
              <w:rPr>
                <w:rStyle w:val="VerbatimChar"/>
              </w:rPr>
              <w:t xml:space="preserve">BatchVerify</w:t>
            </w:r>
            <w:r>
              <w:t xml:space="preserve"> </w:t>
            </w:r>
            <w:r>
              <w:t xml:space="preserve">pass-rate KPI.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fsresidency</w:t>
            </w:r>
          </w:p>
        </w:tc>
        <w:tc>
          <w:tcPr/>
          <w:p>
            <w:pPr>
              <w:pStyle w:val="Compact"/>
            </w:pPr>
            <w:r>
              <w:t xml:space="preserve">Filesystem residency challenge: per-byte-range</w:t>
            </w:r>
            <w:r>
              <w:t xml:space="preserve"> </w:t>
            </w:r>
            <w:r>
              <w:rPr>
                <w:rStyle w:val="VerbatimChar"/>
              </w:rPr>
              <w:t xml:space="preserve">ReadAt</w:t>
            </w:r>
            <w:r>
              <w:t xml:space="preserve"> </w:t>
            </w:r>
            <w:r>
              <w:t xml:space="preserve">+ SHA-256 verification proving a model file is really present on disk; truncated / missing / mismatch all 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exportcontrol</w:t>
            </w:r>
          </w:p>
        </w:tc>
        <w:tc>
          <w:tcPr/>
          <w:p>
            <w:pPr>
              <w:pStyle w:val="Compact"/>
            </w:pPr>
            <w:r>
              <w:t xml:space="preserve">Export-control / country-code KYC gate on node onboarding: a controlled GPU (</w:t>
            </w:r>
            <w:r>
              <w:rPr>
                <w:rStyle w:val="VerbatimChar"/>
              </w:rPr>
              <w:t xml:space="preserve">H100</w:t>
            </w:r>
            <w:r>
              <w:t xml:space="preserve">/</w:t>
            </w:r>
            <w:r>
              <w:rPr>
                <w:rStyle w:val="VerbatimChar"/>
              </w:rPr>
              <w:t xml:space="preserve">A100</w:t>
            </w:r>
            <w:r>
              <w:t xml:space="preserve">) from a Tier-3 (embargoed) or unknown jurisdiction is rejected with</w:t>
            </w:r>
            <w:r>
              <w:t xml:space="preserve"> </w:t>
            </w:r>
            <w:r>
              <w:rPr>
                <w:rStyle w:val="VerbatimChar"/>
              </w:rPr>
              <w:t xml:space="preserve">ErrExportDenied</w:t>
            </w:r>
            <w:r>
              <w:t xml:space="preserve">; Tier-1 is allowed.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hybridkex</w:t>
            </w:r>
          </w:p>
        </w:tc>
        <w:tc>
          <w:tcPr/>
          <w:p>
            <w:pPr>
              <w:pStyle w:val="Compact"/>
            </w:pPr>
            <w:r>
              <w:t xml:space="preserve">Hybrid post-quantum key exchange combining X25519 (</w:t>
            </w:r>
            <w:r>
              <w:rPr>
                <w:rStyle w:val="VerbatimChar"/>
              </w:rPr>
              <w:t xml:space="preserve">crypto/ecdh</w:t>
            </w:r>
            <w:r>
              <w:t xml:space="preserve">) + ML-KEM-768 (</w:t>
            </w:r>
            <w:r>
              <w:rPr>
                <w:rStyle w:val="VerbatimChar"/>
              </w:rPr>
              <w:t xml:space="preserve">crypto/mlkem</w:t>
            </w:r>
            <w:r>
              <w:t xml:space="preserve">) shared secrets via HKDF-SHA256 (negotiated group</w:t>
            </w:r>
            <w:r>
              <w:t xml:space="preserve"> </w:t>
            </w:r>
            <w:r>
              <w:rPr>
                <w:rStyle w:val="VerbatimChar"/>
              </w:rPr>
              <w:t xml:space="preserve">X25519MLKEM768</w:t>
            </w:r>
            <w:r>
              <w:t xml:space="preserve">); both parties derive an identical 32-byte key, and a tampered ML-KEM ciphertext yields a non-matching key.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compliancedoc</w:t>
            </w:r>
          </w:p>
        </w:tc>
        <w:tc>
          <w:tcPr/>
          <w:p>
            <w:pPr>
              <w:pStyle w:val="Compact"/>
            </w:pPr>
            <w:r>
              <w:t xml:space="preserve">EU AI Act compliance-documentation pipeline: generates a model card + technical-documentation artifact from attestation-log records with a SHA-256 provenance hash bound to the record content; empty logs →</w:t>
            </w:r>
            <w:r>
              <w:t xml:space="preserve"> </w:t>
            </w:r>
            <w:r>
              <w:rPr>
                <w:rStyle w:val="VerbatimChar"/>
              </w:rPr>
              <w:t xml:space="preserve">ErrNoAttestations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gpuattest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multigpu.go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Multi-GPU node enumeration: an N-GPU node descriptor yields N distinct, independently-verifiable per-device attestation proofs keyed by GPU UUID; rejects duplicate/empty descriptors.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redundantexec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attestadmit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</w:p>
        </w:tc>
        <w:tc>
          <w:tcPr/>
          <w:p>
            <w:pPr>
              <w:pStyle w:val="Compact"/>
            </w:pPr>
            <w:r>
              <w:t xml:space="preserve">See above — redundancy trust, attestation admission, attestation crypto.</w:t>
            </w:r>
          </w:p>
        </w:tc>
      </w:tr>
    </w:tbl>
    <w:bookmarkEnd w:id="17"/>
    <w:bookmarkStart w:id="18" w:name="testing-simulation-quality"/>
    <w:p>
      <w:pPr>
        <w:pStyle w:val="Heading2"/>
      </w:pPr>
      <w:r>
        <w:t xml:space="preserve">Testing, Simulation &amp; Quality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testing/dst</w:t>
            </w:r>
            <w:r>
              <w:t xml:space="preserve"> </w:t>
            </w:r>
            <w:r>
              <w:t xml:space="preserve">(+ BUGGIFY,</w:t>
            </w:r>
            <w:r>
              <w:t xml:space="preserve"> </w:t>
            </w:r>
            <w:r>
              <w:rPr>
                <w:rStyle w:val="VerbatimChar"/>
              </w:rPr>
              <w:t xml:space="preserve">chaos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turmoil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FoundationDB-style deterministic simulation testing, BUGGIFY fault macros, network simulation.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timefault</w:t>
            </w:r>
          </w:p>
        </w:tc>
        <w:tc>
          <w:tcPr/>
          <w:p>
            <w:pPr>
              <w:pStyle w:val="Compact"/>
            </w:pPr>
            <w:r>
              <w:t xml:space="preserve">Clock-fault injectors (skew / freeze / monotonic-violation) + skew detector for split-brain avoidance.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chaosexp</w:t>
            </w:r>
          </w:p>
        </w:tc>
        <w:tc>
          <w:tcPr/>
          <w:p>
            <w:pPr>
              <w:pStyle w:val="Compact"/>
            </w:pPr>
            <w:r>
              <w:t xml:space="preserve">Chaos experiment suite with delivery-level steady-state.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fmea</w:t>
            </w:r>
          </w:p>
        </w:tc>
        <w:tc>
          <w:tcPr/>
          <w:p>
            <w:pPr>
              <w:pStyle w:val="Compact"/>
            </w:pPr>
            <w:r>
              <w:t xml:space="preserve">FMEA catalogue + RPN validator.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phasegate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phase7matrix</w:t>
            </w:r>
          </w:p>
        </w:tc>
        <w:tc>
          <w:tcPr/>
          <w:p>
            <w:pPr>
              <w:pStyle w:val="Compact"/>
            </w:pPr>
            <w:r>
              <w:t xml:space="preserve">Phase dependency gates and the Phase-7 gap-matrix verifier.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Quality gates, coverage gates, statistics (Welch t-test), sandboxing.</w:t>
            </w:r>
          </w:p>
        </w:tc>
      </w:tr>
    </w:tbl>
    <w:bookmarkEnd w:id="18"/>
    <w:bookmarkStart w:id="19" w:name="external-provider-integration"/>
    <w:p>
      <w:pPr>
        <w:pStyle w:val="Heading2"/>
      </w:pPr>
      <w:r>
        <w:t xml:space="preserve">External Provider Integration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chutesaccount</w:t>
            </w:r>
          </w:p>
        </w:tc>
        <w:tc>
          <w:tcPr/>
          <w:p>
            <w:pPr>
              <w:pStyle w:val="Compact"/>
            </w:pPr>
            <w:r>
              <w:t xml:space="preserve">Chutes API client over HTTP (</w:t>
            </w:r>
            <w:r>
              <w:rPr>
                <w:rStyle w:val="VerbatimChar"/>
              </w:rPr>
              <w:t xml:space="preserve">Authorization: Bearer</w:t>
            </w:r>
            <w:r>
              <w:t xml:space="preserve">): model-list (TEE / price fields) and</w:t>
            </w:r>
            <w:r>
              <w:t xml:space="preserve"> </w:t>
            </w:r>
            <w:r>
              <w:rPr>
                <w:rStyle w:val="VerbatimChar"/>
              </w:rPr>
              <w:t xml:space="preserve">/users/me</w:t>
            </w:r>
            <w:r>
              <w:t xml:space="preserve"> </w:t>
            </w:r>
            <w:r>
              <w:t xml:space="preserve">account-balance retrieval.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llmadapter</w:t>
            </w:r>
          </w:p>
        </w:tc>
        <w:tc>
          <w:tcPr/>
          <w:p>
            <w:pPr>
              <w:pStyle w:val="Compact"/>
            </w:pPr>
            <w:r>
              <w:t xml:space="preserve">Claude Messages / OpenAI Responses-API request and response shape adapters to OpenAI chat-completions, preserving tool-call order.</w:t>
            </w:r>
          </w:p>
        </w:tc>
      </w:tr>
    </w:tbl>
    <w:bookmarkEnd w:id="19"/>
    <w:bookmarkStart w:id="21" w:name="observability"/>
    <w:p>
      <w:pPr>
        <w:pStyle w:val="Heading2"/>
      </w:pPr>
      <w:r>
        <w:t xml:space="preserve">Observability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Metrics collection.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tracing</w:t>
            </w:r>
          </w:p>
        </w:tc>
        <w:tc>
          <w:tcPr/>
          <w:p>
            <w:pPr>
              <w:pStyle w:val="Compact"/>
            </w:pPr>
            <w:r>
              <w:t xml:space="preserve">W3C distributed tracing.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</w:t>
            </w:r>
          </w:p>
        </w:tc>
        <w:tc>
          <w:tcPr/>
          <w:p>
            <w:pPr>
              <w:pStyle w:val="Compact"/>
            </w:pPr>
            <w:r>
              <w:t xml:space="preserve">Health aggregation.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grafanadash</w:t>
            </w:r>
          </w:p>
        </w:tc>
        <w:tc>
          <w:tcPr/>
          <w:p>
            <w:pPr>
              <w:pStyle w:val="Compact"/>
            </w:pPr>
            <w:r>
              <w:t xml:space="preserve">Grafana dashboard generation +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Structured logging.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catalogue is maintained as the foundation library grows. For the authoritative list run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ls pkg/</w:t>
      </w:r>
      <w:r>
        <w:rPr>
          <w:i/>
          <w:iCs/>
        </w:rPr>
        <w:t xml:space="preserve">. For the work-item registry that tracks package delivery, see</w:t>
      </w:r>
      <w:r>
        <w:rPr>
          <w:i/>
          <w:iCs/>
        </w:rPr>
        <w:t xml:space="preserve"> </w:t>
      </w:r>
      <w:hyperlink r:id="rId20">
        <w:r>
          <w:rPr>
            <w:rStyle w:val="VerbatimChar"/>
            <w:i/>
            <w:iCs/>
          </w:rPr>
          <w:t xml:space="preserve">HXC_REGISTRY.md</w:t>
        </w:r>
      </w:hyperlink>
      <w:r>
        <w:rPr>
          <w:i/>
          <w:iCs/>
        </w:rPr>
        <w:t xml:space="preserve">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HXC_REGISTR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XC_REGISTR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FOUNDATION_PACKAGES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