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bookmarkStart w:id="16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bookmarkStart w:id="13" w:name="unreleased"/>
    <w:p>
      <w:pPr>
        <w:pStyle w:val="Heading2"/>
      </w:pPr>
      <w:r>
        <w:t xml:space="preserve">[Unreleased]</w:t>
      </w:r>
    </w:p>
    <w:bookmarkStart w:id="11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Foundation distributed-systems library (</w:t>
      </w:r>
      <w:r>
        <w:rPr>
          <w:rStyle w:val="VerbatimChar"/>
          <w:b/>
          <w:bCs/>
        </w:rPr>
        <w:t xml:space="preserve">pkg/</w:t>
      </w:r>
      <w:r>
        <w:rPr>
          <w:b/>
          <w:bCs/>
        </w:rPr>
        <w:t xml:space="preserve">)</w:t>
      </w:r>
      <w:r>
        <w:t xml:space="preserve"> </w:t>
      </w:r>
      <w:r>
        <w:t xml:space="preserve">— a large, growing pure-Go, deterministic, mutation-tested package set. Recent additions include:</w:t>
      </w:r>
    </w:p>
    <w:p>
      <w:pPr>
        <w:pStyle w:val="Compact"/>
        <w:numPr>
          <w:ilvl w:val="1"/>
          <w:numId w:val="1002"/>
        </w:numPr>
      </w:pPr>
      <w:r>
        <w:t xml:space="preserve">Consensus/coordination:</w:t>
      </w:r>
      <w:r>
        <w:t xml:space="preserve"> </w:t>
      </w:r>
      <w:r>
        <w:rPr>
          <w:rStyle w:val="VerbatimChar"/>
        </w:rPr>
        <w:t xml:space="preserve">voting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heartbeatcoalescer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splitbrainalert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Replication/state:</w:t>
      </w:r>
      <w:r>
        <w:t xml:space="preserve"> </w:t>
      </w:r>
      <w:r>
        <w:rPr>
          <w:rStyle w:val="VerbatimChar"/>
        </w:rPr>
        <w:t xml:space="preserve">mvcc</w:t>
      </w:r>
      <w:r>
        <w:t xml:space="preserve"> </w:t>
      </w:r>
      <w:r>
        <w:t xml:space="preserve">(B-tree time-travel store),</w:t>
      </w:r>
      <w:r>
        <w:t xml:space="preserve"> </w:t>
      </w:r>
      <w:r>
        <w:rPr>
          <w:rStyle w:val="VerbatimChar"/>
        </w:rPr>
        <w:t xml:space="preserve">antientropy</w:t>
      </w:r>
      <w:r>
        <w:t xml:space="preserve"> </w:t>
      </w:r>
      <w:r>
        <w:t xml:space="preserve">(hinted-handoff + read-repair + Merkle diff),</w:t>
      </w:r>
      <w:r>
        <w:t xml:space="preserve"> </w:t>
      </w:r>
      <w:r>
        <w:rPr>
          <w:rStyle w:val="VerbatimChar"/>
        </w:rPr>
        <w:t xml:space="preserve">watchmanager</w:t>
      </w:r>
      <w:r>
        <w:t xml:space="preserve"> </w:t>
      </w:r>
      <w:r>
        <w:t xml:space="preserve">(synced/unsynced/victim watch groups),</w:t>
      </w:r>
      <w:r>
        <w:t xml:space="preserve"> </w:t>
      </w:r>
      <w:r>
        <w:rPr>
          <w:rStyle w:val="VerbatimChar"/>
        </w:rPr>
        <w:t xml:space="preserve">crdt</w:t>
      </w:r>
      <w:r>
        <w:t xml:space="preserve">/</w:t>
      </w:r>
      <w:r>
        <w:rPr>
          <w:rStyle w:val="VerbatimChar"/>
        </w:rPr>
        <w:t xml:space="preserve">merkle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Scheduling/placement: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(Pacemaker 4-type),</w:t>
      </w:r>
      <w:r>
        <w:t xml:space="preserve"> </w:t>
      </w:r>
      <w:r>
        <w:rPr>
          <w:rStyle w:val="VerbatimChar"/>
        </w:rPr>
        <w:t xml:space="preserve">preempt</w:t>
      </w:r>
      <w:r>
        <w:t xml:space="preserve"> </w:t>
      </w:r>
      <w:r>
        <w:t xml:space="preserve">(value-multiplier),</w:t>
      </w:r>
      <w:r>
        <w:t xml:space="preserve"> </w:t>
      </w:r>
      <w:r>
        <w:rPr>
          <w:rStyle w:val="VerbatimChar"/>
        </w:rPr>
        <w:t xml:space="preserve">priorityqueue</w:t>
      </w:r>
      <w:r>
        <w:t xml:space="preserve"> </w:t>
      </w:r>
      <w:r>
        <w:t xml:space="preserve">(multifactor aging),</w:t>
      </w:r>
      <w:r>
        <w:t xml:space="preserve"> </w:t>
      </w:r>
      <w:r>
        <w:rPr>
          <w:rStyle w:val="VerbatimChar"/>
        </w:rPr>
        <w:t xml:space="preserve">workclaim</w:t>
      </w:r>
      <w:r>
        <w:t xml:space="preserve"> </w:t>
      </w:r>
      <w:r>
        <w:t xml:space="preserve">(SKIP-LOCKED),</w:t>
      </w:r>
      <w:r>
        <w:t xml:space="preserve"> </w:t>
      </w:r>
      <w:r>
        <w:rPr>
          <w:rStyle w:val="VerbatimChar"/>
        </w:rPr>
        <w:t xml:space="preserve">admissioncontrol</w:t>
      </w:r>
      <w:r>
        <w:t xml:space="preserve"> </w:t>
      </w:r>
      <w:r>
        <w:t xml:space="preserve">(N+K reserve),</w:t>
      </w:r>
      <w:r>
        <w:t xml:space="preserve"> </w:t>
      </w:r>
      <w:r>
        <w:rPr>
          <w:rStyle w:val="VerbatimChar"/>
        </w:rPr>
        <w:t xml:space="preserve">budgetcap</w:t>
      </w:r>
      <w:r>
        <w:t xml:space="preserve">,</w:t>
      </w:r>
      <w:r>
        <w:t xml:space="preserve"> </w:t>
      </w:r>
      <w:r>
        <w:rPr>
          <w:rStyle w:val="VerbatimChar"/>
        </w:rPr>
        <w:t xml:space="preserve">qos</w:t>
      </w:r>
      <w:r>
        <w:t xml:space="preserve">,</w:t>
      </w:r>
      <w:r>
        <w:t xml:space="preserve"> </w:t>
      </w:r>
      <w:r>
        <w:rPr>
          <w:rStyle w:val="VerbatimChar"/>
        </w:rPr>
        <w:t xml:space="preserve">suitability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ewmarank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fallbackchain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GPU/resource &amp; cost:</w:t>
      </w:r>
      <w:r>
        <w:t xml:space="preserve"> </w:t>
      </w:r>
      <w:r>
        <w:rPr>
          <w:rStyle w:val="VerbatimChar"/>
        </w:rPr>
        <w:t xml:space="preserve">costsched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latencysched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gpuattest</w:t>
      </w:r>
      <w:r>
        <w:t xml:space="preserve"> </w:t>
      </w:r>
      <w:r>
        <w:t xml:space="preserve">(attestation crypto: challenge/response, proof-of-GPU-work, O(1) spot-check, device-sealing),</w:t>
      </w:r>
      <w:r>
        <w:t xml:space="preserve"> </w:t>
      </w:r>
      <w:r>
        <w:rPr>
          <w:rStyle w:val="VerbatimChar"/>
        </w:rPr>
        <w:t xml:space="preserve">attestadmit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(TCO),</w:t>
      </w:r>
      <w:r>
        <w:t xml:space="preserve"> </w:t>
      </w:r>
      <w:r>
        <w:rPr>
          <w:rStyle w:val="VerbatimChar"/>
        </w:rPr>
        <w:t xml:space="preserve">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Messaging/flow &amp; edge:</w:t>
      </w:r>
      <w:r>
        <w:t xml:space="preserve"> </w:t>
      </w:r>
      <w:r>
        <w:rPr>
          <w:rStyle w:val="VerbatimChar"/>
        </w:rPr>
        <w:t xml:space="preserve">flowcontrol</w:t>
      </w:r>
      <w:r>
        <w:t xml:space="preserve"> </w:t>
      </w:r>
      <w:r>
        <w:t xml:space="preserve">(K8s APF),</w:t>
      </w:r>
      <w:r>
        <w:t xml:space="preserve"> </w:t>
      </w:r>
      <w:r>
        <w:rPr>
          <w:rStyle w:val="VerbatimChar"/>
        </w:rPr>
        <w:t xml:space="preserve">idempotent</w:t>
      </w:r>
      <w:r>
        <w:t xml:space="preserve"> </w:t>
      </w:r>
      <w:r>
        <w:t xml:space="preserve">(exactly-once),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(cooperative-sticky),</w:t>
      </w:r>
      <w:r>
        <w:t xml:space="preserve"> </w:t>
      </w:r>
      <w:r>
        <w:rPr>
          <w:rStyle w:val="VerbatimChar"/>
        </w:rPr>
        <w:t xml:space="preserve">informer</w:t>
      </w:r>
      <w:r>
        <w:t xml:space="preserve"> </w:t>
      </w:r>
      <w:r>
        <w:t xml:space="preserve">(list-watch cache),</w:t>
      </w:r>
      <w:r>
        <w:t xml:space="preserve"> </w:t>
      </w:r>
      <w:r>
        <w:rPr>
          <w:rStyle w:val="VerbatimChar"/>
        </w:rPr>
        <w:t xml:space="preserve">redundantexec</w:t>
      </w:r>
      <w:r>
        <w:t xml:space="preserve"> </w:t>
      </w:r>
      <w:r>
        <w:t xml:space="preserve">(BOINC trust),</w:t>
      </w:r>
      <w:r>
        <w:t xml:space="preserve"> </w:t>
      </w:r>
      <w:r>
        <w:rPr>
          <w:rStyle w:val="VerbatimChar"/>
        </w:rPr>
        <w:t xml:space="preserve">edgeregistry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healthprobe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Testing/simulation:</w:t>
      </w:r>
      <w:r>
        <w:t xml:space="preserve"> </w:t>
      </w:r>
      <w:r>
        <w:rPr>
          <w:rStyle w:val="VerbatimChar"/>
        </w:rPr>
        <w:t xml:space="preserve">timefault</w:t>
      </w:r>
      <w:r>
        <w:t xml:space="preserve"> </w:t>
      </w:r>
      <w:r>
        <w:t xml:space="preserve">(clock skew/freeze/monotonic injectors), BUGGIFY in</w:t>
      </w:r>
      <w:r>
        <w:t xml:space="preserve"> </w:t>
      </w:r>
      <w:r>
        <w:rPr>
          <w:rStyle w:val="VerbatimChar"/>
        </w:rPr>
        <w:t xml:space="preserve">testing/dst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phase7matrix</w:t>
      </w:r>
      <w:r>
        <w:t xml:space="preserve"> </w:t>
      </w:r>
      <w:r>
        <w:t xml:space="preserve">(gap-matrix verifier).</w:t>
      </w:r>
    </w:p>
    <w:p>
      <w:pPr>
        <w:pStyle w:val="Compact"/>
        <w:numPr>
          <w:ilvl w:val="1"/>
          <w:numId w:val="1002"/>
        </w:numPr>
      </w:pPr>
      <w:r>
        <w:t xml:space="preserve">This session (29 pure-Go units):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bursthysteresis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BurstController</w:t>
      </w:r>
      <w:r>
        <w:t xml:space="preserve"> </w:t>
      </w:r>
      <w:r>
        <w:t xml:space="preserve">with a MONITOR→SPILL→RECOVER two-threshold hysteresis dead-band (HXC-1504).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providerchain</w:t>
      </w:r>
      <w:r>
        <w:t xml:space="preserve"> </w:t>
      </w:r>
      <w:r>
        <w:t xml:space="preserve">— ordered multi-tier provider fallback cascade with retriable/terminal error classification and injected-clock failover SLA (HXC-1508).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gpucatalog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SUPPORTED_GPUS</w:t>
      </w:r>
      <w:r>
        <w:t xml:space="preserve"> </w:t>
      </w:r>
      <w:r>
        <w:t xml:space="preserve">compute-multiplier catalog,</w:t>
      </w:r>
      <w:r>
        <w:t xml:space="preserve"> </w:t>
      </w:r>
      <w:r>
        <w:rPr>
          <w:rStyle w:val="VerbatimChar"/>
        </w:rPr>
        <w:t xml:space="preserve">LookupMultiplier</w:t>
      </w:r>
      <w:r>
        <w:t xml:space="preserve">, and attestation-aware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(attested above un-attested) (HXC-1592).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gravaladmit</w:t>
      </w:r>
      <w:r>
        <w:t xml:space="preserve"> </w:t>
      </w:r>
      <w:r>
        <w:t xml:space="preserve">— HMAC-SHA256 GraVal challenge-response provider admission gate with single-use nonce and</w:t>
      </w:r>
      <w:r>
        <w:t xml:space="preserve"> </w:t>
      </w:r>
      <w:r>
        <w:rPr>
          <w:rStyle w:val="VerbatimChar"/>
        </w:rPr>
        <w:t xml:space="preserve">graval.verified</w:t>
      </w:r>
      <w:r>
        <w:t xml:space="preserve"> </w:t>
      </w:r>
      <w:r>
        <w:t xml:space="preserve">label (HXC-1523).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modelrouter</w:t>
      </w:r>
      <w:r>
        <w:t xml:space="preserve"> </w:t>
      </w:r>
      <w:r>
        <w:t xml:space="preserve">— strategy-to-default-model resolution (latency/throughput/quality/cost) with a typed unknown-strategy error (HXC-1430).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gravalverify</w:t>
      </w:r>
      <w:r>
        <w:t xml:space="preserve"> </w:t>
      </w:r>
      <w:r>
        <w:t xml:space="preserve">— GraVal GPU attestation with a VRAM-ratio</w:t>
      </w:r>
      <w:r>
        <w:t xml:space="preserve"> </w:t>
      </w:r>
      <w:r>
        <w:rPr>
          <w:rStyle w:val="VerbatimChar"/>
        </w:rPr>
        <w:t xml:space="preserve">&gt;= 0.95</w:t>
      </w:r>
      <w:r>
        <w:t xml:space="preserve"> </w:t>
      </w:r>
      <w:r>
        <w:t xml:space="preserve">gate and a concurrent, race-clean</w:t>
      </w:r>
      <w:r>
        <w:t xml:space="preserve"> </w:t>
      </w:r>
      <w:r>
        <w:rPr>
          <w:rStyle w:val="VerbatimChar"/>
        </w:rPr>
        <w:t xml:space="preserve">BatchVerify</w:t>
      </w:r>
      <w:r>
        <w:t xml:space="preserve"> </w:t>
      </w:r>
      <w:r>
        <w:t xml:space="preserve">pass-rate KPI (HXC-1435, HXC-1436).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gepetto</w:t>
      </w:r>
      <w:r>
        <w:t xml:space="preserve"> </w:t>
      </w:r>
      <w:r>
        <w:t xml:space="preserve">— HelixGepetto dual-resource local-vs-Chutes arbitration with a monotonic reserve schedule and a strict</w:t>
      </w:r>
      <w:r>
        <w:t xml:space="preserve"> </w:t>
      </w:r>
      <w:r>
        <w:rPr>
          <w:rStyle w:val="VerbatimChar"/>
        </w:rPr>
        <w:t xml:space="preserve">&gt;0.80</w:t>
      </w:r>
      <w:r>
        <w:t xml:space="preserve"> </w:t>
      </w:r>
      <w:r>
        <w:t xml:space="preserve">high-water anti-starvation zero-capacity cut-off (HXC-1446).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chutesaccount</w:t>
      </w:r>
      <w:r>
        <w:t xml:space="preserve"> </w:t>
      </w:r>
      <w:r>
        <w:t xml:space="preserve">— Chutes API model-list (TEE/price fields) and</w:t>
      </w:r>
      <w:r>
        <w:t xml:space="preserve"> </w:t>
      </w:r>
      <w:r>
        <w:rPr>
          <w:rStyle w:val="VerbatimChar"/>
        </w:rPr>
        <w:t xml:space="preserve">/users/me</w:t>
      </w:r>
      <w:r>
        <w:t xml:space="preserve"> </w:t>
      </w:r>
      <w:r>
        <w:t xml:space="preserve">account-balance client over HTTP with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(HXC-1429).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cmd/burst-controller</w:t>
      </w:r>
      <w:r>
        <w:t xml:space="preserve"> </w:t>
      </w:r>
      <w:r>
        <w:t xml:space="preserve">— utilization-driven binary driving</w:t>
      </w:r>
      <w:r>
        <w:t xml:space="preserve"> </w:t>
      </w:r>
      <w:r>
        <w:rPr>
          <w:rStyle w:val="VerbatimChar"/>
        </w:rPr>
        <w:t xml:space="preserve">bursthysteresis</w:t>
      </w:r>
      <w:r>
        <w:t xml:space="preserve">; emits a</w:t>
      </w:r>
      <w:r>
        <w:t xml:space="preserve"> </w:t>
      </w:r>
      <w:r>
        <w:t xml:space="preserve">“burst allocation request”</w:t>
      </w:r>
      <w:r>
        <w:t xml:space="preserve"> </w:t>
      </w:r>
      <w:r>
        <w:t xml:space="preserve">on SPILL and a RECOVER line, runID-stamped (HXC-1531).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tieredcache</w:t>
      </w:r>
      <w:r>
        <w:t xml:space="preserve"> </w:t>
      </w:r>
      <w:r>
        <w:t xml:space="preserve">— hot(memory)/warm(NVMe)/cold(SSD) tiered cache with injected backends + injected clock, idle-demotion + promotion, and per-tier hit stats (HXC-1418).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smartrouter</w:t>
      </w:r>
      <w:r>
        <w:t xml:space="preserve"> </w:t>
      </w:r>
      <w:r>
        <w:t xml:space="preserve">— intelligent ModelRouter (latency/throughput/cost/TEE/balanced) that always excludes unhealthy models, with a typed no-eligible-model error (HXC-1539).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epochresolve</w:t>
      </w:r>
      <w:r>
        <w:t xml:space="preserve"> </w:t>
      </w:r>
      <w:r>
        <w:t xml:space="preserve">— config-epoch failover slot-ownership conflict resolution (highest-epoch wins, deterministic lexicographic equal-epoch tiebreak, order-independent convergence) (HXC-1397).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balancemonitor</w:t>
      </w:r>
      <w:r>
        <w:t xml:space="preserve"> </w:t>
      </w:r>
      <w:r>
        <w:t xml:space="preserve">— USD account-balance monitor with a strict low-balance floor warning, over HTTP with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(HXC-1512).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scan</w:t>
      </w:r>
      <w:r>
        <w:t xml:space="preserve"> </w:t>
      </w:r>
      <w:r>
        <w:t xml:space="preserve">— Oracle-SCAN-style stable virtual client endpoint: least-loaded healthy-backend routing with a membership-stable name and injected clock (HXC-1403).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llmfailover</w:t>
      </w:r>
      <w:r>
        <w:t xml:space="preserve"> </w:t>
      </w:r>
      <w:r>
        <w:t xml:space="preserve">— error-classified LLM failover taxonomy (deterministic per-class fallback paths) plus a sandbox scheduling-hint contract (HXC-1600).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llmadapter</w:t>
      </w:r>
      <w:r>
        <w:t xml:space="preserve"> </w:t>
      </w:r>
      <w:r>
        <w:t xml:space="preserve">— Claude Messages / OpenAI Responses-API request and response shape adapters to OpenAI chat-completions, preserving tool-call order (HXC-1599).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deltacrdt</w:t>
      </w:r>
      <w:r>
        <w:t xml:space="preserve"> </w:t>
      </w:r>
      <w:r>
        <w:t xml:space="preserve">— standalone delta-state CRDTs (G-counter / PN-counter / observed-remove OR-set / LWW-map) with delta-mutators and a convergent (commutative/associative/idempotent) merge (HXC-1409).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gputopo</w:t>
      </w:r>
      <w:r>
        <w:t xml:space="preserve"> </w:t>
      </w:r>
      <w:r>
        <w:t xml:space="preserve">— topology-aware NUMA/NVLink GPU placement scoring that prefers NVLink-connected GPU pairs and falls back to PCIe (HXC-1406).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fsresidency</w:t>
      </w:r>
      <w:r>
        <w:t xml:space="preserve"> </w:t>
      </w:r>
      <w:r>
        <w:t xml:space="preserve">— filesystem residency challenge: per-byte-range</w:t>
      </w:r>
      <w:r>
        <w:t xml:space="preserve"> </w:t>
      </w:r>
      <w:r>
        <w:rPr>
          <w:rStyle w:val="VerbatimChar"/>
        </w:rPr>
        <w:t xml:space="preserve">ReadAt</w:t>
      </w:r>
      <w:r>
        <w:t xml:space="preserve"> </w:t>
      </w:r>
      <w:r>
        <w:t xml:space="preserve">+ SHA-256 verification proving a model file is really present on disk; truncated/missing/mismatch all fail (HXC-1572).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economics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RewardDistributor</w:t>
      </w:r>
      <w:r>
        <w:t xml:space="preserve"> </w:t>
      </w:r>
      <w:r>
        <w:t xml:space="preserve">multi-token distribution with treasury/reinvest splits and a conservation invariant (</w:t>
      </w:r>
      <w:r>
        <w:rPr>
          <w:rStyle w:val="VerbatimChar"/>
        </w:rPr>
        <w:t xml:space="preserve">sum(ledger)+treasury+reinvest == total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GetParticipantROI</w:t>
      </w:r>
      <w:r>
        <w:t xml:space="preserve"> </w:t>
      </w:r>
      <w:r>
        <w:t xml:space="preserve">(ROI% + break-even days, typed unknown-participant error) (HXC-1460, HXC-1461).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revenueopt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RevenueOptimizer.OptimizeAllocation</w:t>
      </w:r>
      <w:r>
        <w:t xml:space="preserve"> </w:t>
      </w:r>
      <w:r>
        <w:t xml:space="preserve">greedy GPU→marketplace assignment maximising expected revenue, with a TEE→Chutes revenue bias; self-contained types (HXC-1456).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exportcontrol</w:t>
      </w:r>
      <w:r>
        <w:t xml:space="preserve"> </w:t>
      </w:r>
      <w:r>
        <w:t xml:space="preserve">— export-control / country-code KYC gate: a controlled GPU (</w:t>
      </w:r>
      <w:r>
        <w:rPr>
          <w:rStyle w:val="VerbatimChar"/>
        </w:rPr>
        <w:t xml:space="preserve">H100</w:t>
      </w:r>
      <w:r>
        <w:t xml:space="preserve">/</w:t>
      </w:r>
      <w:r>
        <w:rPr>
          <w:rStyle w:val="VerbatimChar"/>
        </w:rPr>
        <w:t xml:space="preserve">A100</w:t>
      </w:r>
      <w:r>
        <w:t xml:space="preserve">) from a Tier-3 (embargoed) or unknown jurisdiction is rejected with</w:t>
      </w:r>
      <w:r>
        <w:t xml:space="preserve"> </w:t>
      </w:r>
      <w:r>
        <w:rPr>
          <w:rStyle w:val="VerbatimChar"/>
        </w:rPr>
        <w:t xml:space="preserve">ErrExportDenied</w:t>
      </w:r>
      <w:r>
        <w:t xml:space="preserve">; Tier-1 is allowed (HXC-1482).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devicecatalog</w:t>
      </w:r>
      <w:r>
        <w:t xml:space="preserve"> </w:t>
      </w:r>
      <w:r>
        <w:t xml:space="preserve">— machine-readable 64-device taxonomy with case-insensitive substring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resolving a discovered CPU model (e.g. </w:t>
      </w:r>
      <w:r>
        <w:rPr>
          <w:rStyle w:val="VerbatimChar"/>
        </w:rPr>
        <w:t xml:space="preserve">Rockchip RK3588</w:t>
      </w:r>
      <w:r>
        <w:t xml:space="preserve">) to its tier / trust-level / compute-class (HXC-1331).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compliancedoc</w:t>
      </w:r>
      <w:r>
        <w:t xml:space="preserve"> </w:t>
      </w:r>
      <w:r>
        <w:t xml:space="preserve">— EU AI Act compliance-documentation pipeline: generates a model card + technical-documentation artifact from attestation-log records, with a SHA-256 provenance hash bound to the actual record content (HXC-1481).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hybridkex</w:t>
      </w:r>
      <w:r>
        <w:t xml:space="preserve"> </w:t>
      </w:r>
      <w:r>
        <w:t xml:space="preserve">— hybrid post-quantum key exchange combining X25519 (</w:t>
      </w:r>
      <w:r>
        <w:rPr>
          <w:rStyle w:val="VerbatimChar"/>
        </w:rPr>
        <w:t xml:space="preserve">crypto/ecdh</w:t>
      </w:r>
      <w:r>
        <w:t xml:space="preserve">) and ML-KEM-768 (</w:t>
      </w:r>
      <w:r>
        <w:rPr>
          <w:rStyle w:val="VerbatimChar"/>
        </w:rPr>
        <w:t xml:space="preserve">crypto/mlkem</w:t>
      </w:r>
      <w:r>
        <w:t xml:space="preserve">) shared secrets via HKDF-SHA256 (group</w:t>
      </w:r>
      <w:r>
        <w:t xml:space="preserve"> </w:t>
      </w:r>
      <w:r>
        <w:rPr>
          <w:rStyle w:val="VerbatimChar"/>
        </w:rPr>
        <w:t xml:space="preserve">X25519MLKEM768</w:t>
      </w:r>
      <w:r>
        <w:t xml:space="preserve">); a tampered ML-KEM ciphertext yields a non-matching key (HXC-1476).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carbonsched</w:t>
      </w:r>
      <w:r>
        <w:t xml:space="preserve"> </w:t>
      </w:r>
      <w:r>
        <w:t xml:space="preserve">— carbon-aware job placement: chooses the lowest-carbon-intensity latency-eligible region (deterministic name tiebreak) with per-job kWh / gCO2 metering (HXC-1480).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gpuattest</w:t>
      </w:r>
      <w:r>
        <w:t xml:space="preserve"> </w:t>
      </w:r>
      <w:r>
        <w:t xml:space="preserve">(additive</w:t>
      </w:r>
      <w:r>
        <w:t xml:space="preserve"> </w:t>
      </w:r>
      <w:r>
        <w:rPr>
          <w:rStyle w:val="VerbatimChar"/>
        </w:rPr>
        <w:t xml:space="preserve">multigpu.go</w:t>
      </w:r>
      <w:r>
        <w:t xml:space="preserve">) — multi-GPU node enumeration: an N-GPU node descriptor yields N distinct, independently-verifiable per-device attestation proofs keyed by GPU UUID; rejects duplicate/empty descriptors (HXC-1573).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workloadrouter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UnifiedManager.RouteWorkload</w:t>
      </w:r>
      <w:r>
        <w:t xml:space="preserve">: concurrent per-marketplace price probes + a weighted composite score (inverse price/latency, health) with a TEE multiplier that re-ranks confidential offers when the workload requires a TEE (HXC-1455).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metrics</w:t>
      </w:r>
      <w:r>
        <w:t xml:space="preserve"> </w:t>
      </w:r>
      <w:r>
        <w:t xml:space="preserve">(additive</w:t>
      </w:r>
      <w:r>
        <w:t xml:space="preserve"> </w:t>
      </w:r>
      <w:r>
        <w:rPr>
          <w:rStyle w:val="VerbatimChar"/>
        </w:rPr>
        <w:t xml:space="preserve">tiermetrics.go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TierMetrics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gpu_tier_utilization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gpu_cost_per_hour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provider_health</w:t>
      </w:r>
      <w:r>
        <w:t xml:space="preserve"> </w:t>
      </w:r>
      <w:r>
        <w:t xml:space="preserve">Prometheus-text series with deterministic ordering and concurrent-safe setters (HXC-1535).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fix (HIGH):</w:t>
      </w:r>
      <w:r>
        <w:t xml:space="preserve"> </w:t>
      </w:r>
      <w:r>
        <w:t xml:space="preserve">closed a TOCTOU replay-bypass in</w:t>
      </w:r>
      <w:r>
        <w:t xml:space="preserve"> </w:t>
      </w:r>
      <w:r>
        <w:rPr>
          <w:rStyle w:val="VerbatimChar"/>
        </w:rPr>
        <w:t xml:space="preserve">pkg/gpuattest.Verify</w:t>
      </w:r>
      <w:r>
        <w:t xml:space="preserve"> </w:t>
      </w:r>
      <w:r>
        <w:t xml:space="preserve">— the nonce check and consume are now atomic, with a concurrent-replay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regression test.</w:t>
      </w:r>
    </w:p>
    <w:p>
      <w:pPr>
        <w:pStyle w:val="Compact"/>
        <w:numPr>
          <w:ilvl w:val="0"/>
          <w:numId w:val="1001"/>
        </w:numPr>
      </w:pPr>
      <w:r>
        <w:t xml:space="preserve">Every foundation package ships with tests that fail under mutation of the logic they cover (CLAUDE-1 enforcement) and are gated by whole-tree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/</w:t>
      </w:r>
      <w:r>
        <w:rPr>
          <w:rStyle w:val="VerbatimChar"/>
        </w:rPr>
        <w:t xml:space="preserve">vet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Initial project scaffold with Go workspace.</w:t>
      </w:r>
    </w:p>
    <w:p>
      <w:pPr>
        <w:pStyle w:val="Compact"/>
        <w:numPr>
          <w:ilvl w:val="0"/>
          <w:numId w:val="1001"/>
        </w:numPr>
      </w:pPr>
      <w:r>
        <w:t xml:space="preserve">29 submodules integrated at project root.</w:t>
      </w:r>
    </w:p>
    <w:p>
      <w:pPr>
        <w:pStyle w:val="Compact"/>
        <w:numPr>
          <w:ilvl w:val="0"/>
          <w:numId w:val="1001"/>
        </w:numPr>
      </w:pPr>
      <w:r>
        <w:t xml:space="preserve">Directory structure: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.</w:t>
      </w:r>
    </w:p>
    <w:bookmarkEnd w:id="11"/>
    <w:bookmarkStart w:id="12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CLAUDE-3 / AGENT-2 / QWEN-2 documentation continuous-sync guarantee added (restates and cites Constitution §11.4.106 docs-chain);</w:t>
      </w:r>
      <w:r>
        <w:t xml:space="preserve"> </w:t>
      </w:r>
      <w:r>
        <w:rPr>
          <w:rStyle w:val="VerbatimChar"/>
        </w:rPr>
        <w:t xml:space="preserve">.docs_chain/contexts/tracked_docs.yaml</w:t>
      </w:r>
      <w:r>
        <w:t xml:space="preserve"> </w:t>
      </w:r>
      <w:r>
        <w:t xml:space="preserve">extended to enforce README, CLAUDE/AGENTS/QWEN, CHANGELOG, FOUNDATION_PACKAGES, and CODEGRAPH export-sync.</w:t>
      </w:r>
    </w:p>
    <w:bookmarkEnd w:id="12"/>
    <w:bookmarkEnd w:id="13"/>
    <w:bookmarkStart w:id="15" w:name="dev---2026-05-30"/>
    <w:p>
      <w:pPr>
        <w:pStyle w:val="Heading2"/>
      </w:pPr>
      <w:r>
        <w:t xml:space="preserve">[0.1.0-dev] - 2026-05-30</w:t>
      </w:r>
    </w:p>
    <w:bookmarkStart w:id="14" w:name="added-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5"/>
        </w:numPr>
      </w:pPr>
      <w:r>
        <w:t xml:space="preserve">Phase 0 bootstrap: submodule cloning and workspace initialization.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1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1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