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2026-06-01T10:27:45Z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8d7030c</w:t>
            </w:r>
          </w:p>
        </w:tc>
        <w:tc>
          <w:tcPr/>
          <w:p>
            <w:pPr>
              <w:pStyle w:val="Compact"/>
            </w:pPr>
            <w:r>
              <w:t xml:space="preserve">Foundation: add pkg/testing/evidence — §7.1 positive-evidence test helper (TDD + §1.1 mutation-paired)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47b6d91</w:t>
            </w:r>
          </w:p>
        </w:tc>
        <w:tc>
          <w:tcPr/>
          <w:p>
            <w:pPr>
              <w:pStyle w:val="Compact"/>
            </w:pPr>
            <w:r>
              <w:t xml:space="preserve">Phase 0: ingest 614-item phase ledger into hxc_registry.db (HXC-1001..1614); DB-as-source-of-truth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a15c272</w:t>
            </w:r>
          </w:p>
        </w:tc>
        <w:tc>
          <w:tcPr/>
          <w:p>
            <w:pPr>
              <w:pStyle w:val="Compact"/>
            </w:pPr>
            <w:r>
              <w:t xml:space="preserve">Phase 0: wire docs_chain (§11.4.106) — tracked_docs context, engine wrapper, commit gate sync+verify, canonical doc dedup manifest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4554e9a</w:t>
            </w:r>
          </w:p>
        </w:tc>
        <w:tc>
          <w:tcPr/>
          <w:p>
            <w:pPr>
              <w:pStyle w:val="Compact"/>
            </w:pPr>
            <w:r>
              <w:t xml:space="preserve">Phase 0 enabling: integrate constitution upstream (§11.4.106 Docs Chain + workable-items DB), add docs_chain + helixqa submodules, purge stale test binaries, gitignore docs_chain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279bce8</w:t>
            </w:r>
          </w:p>
        </w:tc>
        <w:tc>
          <w:tcPr/>
          <w:p>
            <w:pPr>
              <w:pStyle w:val="Compact"/>
            </w:pPr>
            <w:r>
              <w:t xml:space="preserve">Bump security submodule -&gt; fb1f3ce (Phase 8C e2ee interop + gpuattest spot-check/seal)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f73806e</w:t>
            </w:r>
          </w:p>
        </w:tc>
        <w:tc>
          <w:tcPr/>
          <w:p>
            <w:pPr>
              <w:pStyle w:val="Compact"/>
            </w:pPr>
            <w:r>
              <w:t xml:space="preserve">Phase 8C gaps: model-integrity gate, attestation-gated admission, GPU class model, fiber stake admission, inference proxy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31c4490</w:t>
            </w:r>
          </w:p>
        </w:tc>
        <w:tc>
          <w:tcPr/>
          <w:p>
            <w:pPr>
              <w:pStyle w:val="Compact"/>
            </w:pPr>
            <w:r>
              <w:t xml:space="preserve">Phase 8B gaps: GPU pool manager, cost broker, burst hysteresis, local GPU TCO, provider adapter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8b04418</w:t>
            </w:r>
          </w:p>
        </w:tc>
        <w:tc>
          <w:tcPr/>
          <w:p>
            <w:pPr>
              <w:pStyle w:val="Compact"/>
            </w:pPr>
            <w:r>
              <w:t xml:space="preserve">Phase 8 gaps: chutes inference client+SSE+crypto seams, marketplace adapter+scorer, GPU dual-class reservation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ded59ff</w:t>
            </w:r>
          </w:p>
        </w:tc>
        <w:tc>
          <w:tcPr/>
          <w:p>
            <w:pPr>
              <w:pStyle w:val="Compact"/>
            </w:pPr>
            <w:r>
              <w:t xml:space="preserve">Phase 7 gaps: hashslot CRC16, largest-subcluster voting, SLURM backfill, health startup tier, N+K admission, BOINC trust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a31c0de</w:t>
            </w:r>
          </w:p>
        </w:tc>
        <w:tc>
          <w:tcPr/>
          <w:p>
            <w:pPr>
              <w:pStyle w:val="Compact"/>
            </w:pPr>
            <w:r>
              <w:t xml:space="preserve">Phase 6 gaps: HLC, CRDTs+merkle anti-entropy, federation cell registry/FSM, SWIM phi-accrual (PCS-6/CLAUDE-1)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8d7030c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2026-06-01T10:27:45Z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