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129+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MultiRaftManager</w:t>
            </w:r>
            <w:r>
              <w:t xml:space="preserve"> </w:t>
            </w:r>
            <w:r>
              <w:t xml:space="preserve">partitioning cluster state into independent per-shard</w:t>
            </w:r>
            <w:r>
              <w:t xml:space="preserve"> 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 </w:t>
            </w:r>
            <w:r>
              <w:t xml:space="preserve">groups (own leader each) with per-shard</w:t>
            </w:r>
            <w:r>
              <w:t xml:space="preserve"> </w:t>
            </w:r>
            <w:r>
              <w:rPr>
                <w:rStyle w:val="VerbatimChar"/>
              </w:rPr>
              <w:t xml:space="preserve">Propose</w:t>
            </w:r>
            <w:r>
              <w:t xml:space="preserve"> </w:t>
            </w:r>
            <w:r>
              <w:t xml:space="preserve">routing and an in-process</w:t>
            </w:r>
            <w:r>
              <w:t xml:space="preserve"> </w:t>
            </w:r>
            <w:r>
              <w:rPr>
                <w:rStyle w:val="VerbatimChar"/>
              </w:rPr>
              <w:t xml:space="preserve">RaftTransport</w:t>
            </w:r>
            <w:r>
              <w:t xml:space="preserve">; write throughput scales with shard count instead of hitting the single-leader ceiling, and a shard re-elects on leader loss while others keep committing. Includes a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for CockroachDB-style leaseholder local reads (no Raft round-trip; follower reads route via</w:t>
            </w:r>
            <w:r>
              <w:t xml:space="preserve"> </w:t>
            </w:r>
            <w:r>
              <w:rPr>
                <w:rStyle w:val="VerbatimChar"/>
              </w:rPr>
              <w:t xml:space="preserve">RaftTransport.SendRead</w:t>
            </w:r>
            <w:r>
              <w:t xml:space="preserve">; lease expiry re-routes the fast path). Durability-correct Ready loop: a</w:t>
            </w:r>
            <w:r>
              <w:t xml:space="preserve"> </w:t>
            </w:r>
            <w:r>
              <w:rPr>
                <w:rStyle w:val="VerbatimChar"/>
              </w:rPr>
              <w:t xml:space="preserve">ShardStorage</w:t>
            </w:r>
            <w:r>
              <w:t xml:space="preserve"> </w:t>
            </w:r>
            <w:r>
              <w:rPr>
                <w:rStyle w:val="VerbatimChar"/>
              </w:rPr>
              <w:t xml:space="preserve">SetHardState</w:t>
            </w:r>
            <w:r>
              <w:t xml:space="preserve">/</w:t>
            </w:r>
            <w:r>
              <w:rPr>
                <w:rStyle w:val="VerbatimChar"/>
              </w:rPr>
              <w:t xml:space="preserve">Append</w:t>
            </w:r>
            <w:r>
              <w:t xml:space="preserve"> </w:t>
            </w:r>
            <w:r>
              <w:t xml:space="preserve">persistence error</w:t>
            </w:r>
            <w:r>
              <w:t xml:space="preserve"> </w:t>
            </w:r>
            <w:r>
              <w:rPr>
                <w:b/>
                <w:bCs/>
              </w:rPr>
              <w:t xml:space="preserve">parks</w:t>
            </w:r>
            <w:r>
              <w:t xml:space="preserve"> </w:t>
            </w:r>
            <w:r>
              <w:t xml:space="preserve">the un-persisted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 </w:t>
            </w:r>
            <w:r>
              <w:t xml:space="preserve">and skips</w:t>
            </w:r>
            <w:r>
              <w:t xml:space="preserve"> </w:t>
            </w:r>
            <w:r>
              <w:rPr>
                <w:rStyle w:val="VerbatimChar"/>
              </w:rPr>
              <w:t xml:space="preserve">Advance</w:t>
            </w:r>
            <w:r>
              <w:t xml:space="preserve"> </w:t>
            </w:r>
            <w:r>
              <w:t xml:space="preserve">so raft re-presents it (never falsely marking it durably handled) (HXC-917); the persist-error is also surfaced through a public observability seam — a registerable</w:t>
            </w:r>
            <w:r>
              <w:t xml:space="preserve"> </w:t>
            </w:r>
            <w:r>
              <w:rPr>
                <w:rStyle w:val="VerbatimChar"/>
              </w:rPr>
              <w:t xml:space="preserve">OnPersistError</w:t>
            </w:r>
            <w:r>
              <w:t xml:space="preserve"> </w:t>
            </w:r>
            <w:r>
              <w:t xml:space="preserve">hook +</w:t>
            </w:r>
            <w:r>
              <w:t xml:space="preserve"> </w:t>
            </w:r>
            <w:r>
              <w:rPr>
                <w:rStyle w:val="VerbatimChar"/>
              </w:rPr>
              <w:t xml:space="preserve">LastPersistError</w:t>
            </w:r>
            <w:r>
              <w:t xml:space="preserve"> </w:t>
            </w:r>
            <w:r>
              <w:t xml:space="preserve">accessor fire with the shard id + error, nil hook = unchanged behavior (HXC-927).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kraft</w:t>
            </w:r>
          </w:p>
        </w:tc>
        <w:tc>
          <w:tcPr/>
          <w:p>
            <w:pPr>
              <w:pStyle w:val="Compact"/>
            </w:pPr>
            <w:r>
              <w:t xml:space="preserve">KRaft-style self-managed Raft metadata quorum (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, no ZooKeeper): replicated</w:t>
            </w:r>
            <w:r>
              <w:t xml:space="preserve"> </w:t>
            </w:r>
            <w:r>
              <w:rPr>
                <w:rStyle w:val="VerbatimChar"/>
              </w:rPr>
              <w:t xml:space="preserve">CreateTopic</w:t>
            </w:r>
            <w:r>
              <w:t xml:space="preserve">/</w:t>
            </w:r>
            <w:r>
              <w:rPr>
                <w:rStyle w:val="VerbatimChar"/>
              </w:rPr>
              <w:t xml:space="preserve">ListTopics</w:t>
            </w:r>
            <w:r>
              <w:t xml:space="preserve"> </w:t>
            </w:r>
            <w:r>
              <w:t xml:space="preserve">+ partition-leader assignment via a controller quorum, with controller election and controller-loss failover.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stonith</w:t>
            </w:r>
          </w:p>
        </w:tc>
        <w:tc>
          <w:tcPr/>
          <w:p>
            <w:pPr>
              <w:pStyle w:val="Compact"/>
            </w:pPr>
            <w:r>
              <w:t xml:space="preserve">Shoot-The-Other-Node-In-The-Head fencing: a</w:t>
            </w:r>
            <w:r>
              <w:t xml:space="preserve"> </w:t>
            </w:r>
            <w:r>
              <w:rPr>
                <w:rStyle w:val="VerbatimChar"/>
              </w:rPr>
              <w:t xml:space="preserve">FencingAgent</w:t>
            </w:r>
            <w:r>
              <w:t xml:space="preserve"> </w:t>
            </w:r>
            <w:r>
              <w:t xml:space="preserve">interface with IPMI / AWS-EC2 / Azure-ARM / SBD-shared-disk / NoOp drivers and a</w:t>
            </w:r>
            <w:r>
              <w:t xml:space="preserve"> </w:t>
            </w:r>
            <w:r>
              <w:rPr>
                <w:rStyle w:val="VerbatimChar"/>
              </w:rPr>
              <w:t xml:space="preserve">MultiLevelFencer</w:t>
            </w:r>
            <w:r>
              <w:t xml:space="preserve"> </w:t>
            </w:r>
            <w:r>
              <w:t xml:space="preserve">multi-level fallback, with sink-side fence confirmation (target reachable→unreachable).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, +</w:t>
            </w:r>
            <w:r>
              <w:t xml:space="preserve"> </w:t>
            </w:r>
            <w:r>
              <w:rPr>
                <w:rStyle w:val="VerbatimChar"/>
              </w:rPr>
              <w:t xml:space="preserve">mdns.go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 and zero-config mDNS/DNS-SD LAN discovery on</w:t>
            </w:r>
            <w:r>
              <w:t xml:space="preserve"> </w:t>
            </w:r>
            <w:r>
              <w:rPr>
                <w:rStyle w:val="VerbatimChar"/>
              </w:rPr>
              <w:t xml:space="preserve">_helix-cluster._tcp</w:t>
            </w:r>
            <w:r>
              <w:t xml:space="preserve"> </w:t>
            </w:r>
            <w:r>
              <w:t xml:space="preserve">(stdlib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x/net/dnsmessage</w:t>
            </w:r>
            <w:r>
              <w:t xml:space="preserve">): an advertiser publishing TXT records (cellid/nodeid/version/wgpubkey/clusteraddr) and a browser parsing entries into</w:t>
            </w:r>
            <w:r>
              <w:t xml:space="preserve"> </w:t>
            </w:r>
            <w:r>
              <w:rPr>
                <w:rStyle w:val="VerbatimChar"/>
              </w:rPr>
              <w:t xml:space="preserve">DiscoveredPeer</w:t>
            </w:r>
            <w:r>
              <w:t xml:space="preserve"> </w:t>
            </w:r>
            <w:r>
              <w:t xml:space="preserve">while rejecting any missing/invalid required field. Discovery only — trust requires SPIFFE attestation afterward (live two-node LAN capture tracked as HXC-925).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Node resource probe (CPU/mem/disk/net/GPU) extended with accelerator reporting:</w:t>
            </w:r>
            <w:r>
              <w:t xml:space="preserve"> </w:t>
            </w:r>
            <w:r>
              <w:rPr>
                <w:rStyle w:val="VerbatimChar"/>
              </w:rPr>
              <w:t xml:space="preserve">GPUInfo.TFLOPS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Accelerators{NPUTops,FPGALogicElements,QPUPresent}</w:t>
            </w:r>
            <w:r>
              <w:t xml:space="preserve">. Real per-OS probe (darwin Apple-GPU TFLOPS from</w:t>
            </w:r>
            <w:r>
              <w:t xml:space="preserve"> </w:t>
            </w:r>
            <w:r>
              <w:rPr>
                <w:rStyle w:val="VerbatimChar"/>
              </w:rPr>
              <w:t xml:space="preserve">system_profiler</w:t>
            </w:r>
            <w:r>
              <w:t xml:space="preserve"> </w:t>
            </w:r>
            <w:r>
              <w:t xml:space="preserve">core count; linux sysfs PCI-identity catalog) with an operator override-label fallback for non-self-probeable NPU/FPGA/QPU (HXC-1300).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devicecatalog</w:t>
            </w:r>
          </w:p>
        </w:tc>
        <w:tc>
          <w:tcPr/>
          <w:p>
            <w:pPr>
              <w:pStyle w:val="Compact"/>
            </w:pPr>
            <w:r>
              <w:t xml:space="preserve">Machine-readable 64-device taxonomy with case-insensitive substring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resolving a discovered CPU model (e.g. </w:t>
            </w:r>
            <w:r>
              <w:rPr>
                <w:rStyle w:val="VerbatimChar"/>
              </w:rPr>
              <w:t xml:space="preserve">Rockchip RK3588</w:t>
            </w:r>
            <w:r>
              <w:t xml:space="preserve">) to its tier / trust-level / compute-class.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 </w:t>
            </w:r>
            <w:r>
              <w:t xml:space="preserve">includes real AWS IMDSv2 (token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→authenticated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instance-action), Azure scheduled-events, and GCP preemption interruption pollers (genuine token-dance wire protocol,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-proven) driving</w:t>
            </w:r>
            <w:r>
              <w:t xml:space="preserve"> </w:t>
            </w:r>
            <w:r>
              <w:rPr>
                <w:rStyle w:val="VerbatimChar"/>
              </w:rPr>
              <w:t xml:space="preserve">drain→checkpoint→upload</w:t>
            </w:r>
            <w:r>
              <w:t xml:space="preserve"> </w:t>
            </w:r>
            <w:r>
              <w:t xml:space="preserve">via an injectable sink (HXC-1328; live cloud HXC-1617).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RevenueOptimizer.OptimizeAllocation</w:t>
            </w:r>
            <w:r>
              <w:t xml:space="preserve"> </w:t>
            </w:r>
            <w:r>
              <w:t xml:space="preserve">greedy GPU→marketplace assignment maximising expected revenue, with a TEE→Chutes revenue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carbonsched</w:t>
            </w:r>
          </w:p>
        </w:tc>
        <w:tc>
          <w:tcPr/>
          <w:p>
            <w:pPr>
              <w:pStyle w:val="Compact"/>
            </w:pPr>
            <w:r>
              <w:t xml:space="preserve">Carbon-aware job placement: selects the lowest-carbon-intensity latency-eligible region (deterministic name tiebreak) with per-job kWh / gCO2 metering.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UnifiedManager.RouteWorkload</w:t>
            </w:r>
            <w:r>
              <w:t xml:space="preserve">: concurrent per-marketplace price probes + a weighted composite score (inverse price/latency, health) with a TEE multiplier re-ranking confidential offers when the workload requires a TEE.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RewardDistributor</w:t>
            </w:r>
            <w:r>
              <w:t xml:space="preserve"> </w:t>
            </w:r>
            <w:r>
              <w:t xml:space="preserve">multi-token distribution with treasury/reinvest splits and a conservation invariant, plus</w:t>
            </w:r>
            <w:r>
              <w:t xml:space="preserve"> </w:t>
            </w:r>
            <w:r>
              <w:rPr>
                <w:rStyle w:val="VerbatimChar"/>
              </w:rPr>
              <w:t xml:space="preserve">GetParticipantROI</w:t>
            </w:r>
            <w:r>
              <w:t xml:space="preserve"> </w:t>
            </w:r>
            <w:r>
              <w:t xml:space="preserve">(ROI% + break-even days, typed unknown-participant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deviceplugin</w:t>
            </w:r>
          </w:p>
        </w:tc>
        <w:tc>
          <w:tcPr/>
          <w:p>
            <w:pPr>
              <w:pStyle w:val="Compact"/>
            </w:pPr>
            <w:r>
              <w:t xml:space="preserve">Nomad/K8s-style gRPC device-plugin / GRES fingerprinting framework: device plugins register over real gRPC reporting model / memory / driver / PCIe / capabilities / health / utilization; the registry parses GRES descriptors (</w:t>
            </w:r>
            <w:r>
              <w:rPr>
                <w:rStyle w:val="VerbatimChar"/>
              </w:rPr>
              <w:t xml:space="preserve">gpu:rtx3080:1,memory:10Gi</w:t>
            </w:r>
            <w:r>
              <w:t xml:space="preserve">), atomically applies fingerprints, allocates by request, and rejects oversubscription beyond reported device count.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ProviderAdapter</w:t>
            </w:r>
            <w:r>
              <w:t xml:space="preserve"> </w:t>
            </w:r>
            <w:r>
              <w:t xml:space="preserve">registration hooks: a thread-safe registry (</w:t>
            </w:r>
            <w:r>
              <w:rPr>
                <w:rStyle w:val="VerbatimChar"/>
              </w:rPr>
              <w:t xml:space="preserve">Register</w:t>
            </w:r>
            <w:r>
              <w:t xml:space="preserve">/</w:t>
            </w:r>
            <w:r>
              <w:rPr>
                <w:rStyle w:val="VerbatimChar"/>
              </w:rPr>
              <w:t xml:space="preserve">List</w:t>
            </w:r>
            <w:r>
              <w:t xml:space="preserve">/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Lookup</w:t>
            </w:r>
            <w:r>
              <w:t xml:space="preserve">, duplicate-name guarded, race-free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) exposing a pool-facing provider listing so a new external provider adapter plugs into the GPU layer (HXC-1533; pool consumption HXC-1615).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Micro-benchmarker producing a real, repeatable normalized on-host CPU score (+ typed GPU TFLOPS / NPU TOPS seams) for tier assignment / scheduling hints; repeatability asserted within a coefficient-of-variation tolerance band (HXC-1308).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tierdetect</w:t>
            </w:r>
          </w:p>
        </w:tc>
        <w:tc>
          <w:tcPr/>
          <w:p>
            <w:pPr>
              <w:pStyle w:val="Compact"/>
            </w:pPr>
            <w:r>
              <w:t xml:space="preserve">Pre-provision host-capability gate: real cross-platform detection (darwin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/arch + linux</w:t>
            </w:r>
            <w:r>
              <w:t xml:space="preserve"> </w:t>
            </w:r>
            <w:r>
              <w:rPr>
                <w:rStyle w:val="VerbatimChar"/>
              </w:rPr>
              <w:t xml:space="preserve">/dev/kvm</w:t>
            </w:r>
            <w:r>
              <w:t xml:space="preserve">,</w:t>
            </w: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rPr>
                <w:rStyle w:val="VerbatimChar"/>
              </w:rPr>
              <w:t xml:space="preserve">binfmt</w:t>
            </w:r>
            <w:r>
              <w:t xml:space="preserve"> </w:t>
            </w:r>
            <w:r>
              <w:t xml:space="preserve">behind one build-tagged interface) returning a typed</w:t>
            </w:r>
            <w:r>
              <w:t xml:space="preserve"> </w:t>
            </w:r>
            <w:r>
              <w:rPr>
                <w:rStyle w:val="VerbatimChar"/>
              </w:rPr>
              <w:t xml:space="preserve">MissingCapabilityError</w:t>
            </w:r>
            <w:r>
              <w:t xml:space="preserve"> </w:t>
            </w:r>
            <w:r>
              <w:t xml:space="preserve">when a requested tier’s needs are unmet (HXC-1230).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internal/federation</w:t>
            </w:r>
          </w:p>
        </w:tc>
        <w:tc>
          <w:tcPr/>
          <w:p>
            <w:pPr>
              <w:pStyle w:val="Compact"/>
            </w:pPr>
            <w:r>
              <w:t xml:space="preserve">Karmada PropagationPolicy + OverridePolicy engine: CRs modeled as Go structs → YAML (no client-go dep), constraint-aware (data-locality/latency/cost/compliance) two-level cell selection, and failover reselect that excludes a downed/NotReady cell; deterministic failover proven via in-process FakeHub (live &lt;60s Karmada capture tracked as HXC-924).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gitops</w:t>
            </w:r>
          </w:p>
        </w:tc>
        <w:tc>
          <w:tcPr/>
          <w:p>
            <w:pPr>
              <w:pStyle w:val="Compact"/>
            </w:pPr>
            <w:r>
              <w:t xml:space="preserve">ArgoCD ApplicationSet federation client over an injectable HTTP API: matrix generator (one Application per cell),</w:t>
            </w:r>
            <w:r>
              <w:t xml:space="preserve"> </w:t>
            </w:r>
            <w:r>
              <w:rPr>
                <w:rStyle w:val="VerbatimChar"/>
              </w:rPr>
              <w:t xml:space="preserve">syncPolicy</w:t>
            </w:r>
            <w:r>
              <w:t xml:space="preserve"> </w:t>
            </w:r>
            <w:r>
              <w:t xml:space="preserve">prune+selfHeal, RollingSync canary→tier-2 (50%)→tier-1 (25%) progressive rollout, and drift/prune detection; proven against an httptest ArgoCD (live UI capture tracked as HXC-922).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(Avro)</w:t>
            </w:r>
          </w:p>
        </w:tc>
        <w:tc>
          <w:tcPr/>
          <w:p>
            <w:pPr>
              <w:pStyle w:val="Compact"/>
            </w:pPr>
            <w:r>
              <w:t xml:space="preserve">Stdlib-only Avro-subset codec for domain events: flat primitive records, spec-faithful binary encoding (zig-zag varint, LE-IEEE-754 double), single-object framing (</w:t>
            </w:r>
            <w:r>
              <w:rPr>
                <w:rStyle w:val="VerbatimChar"/>
              </w:rPr>
              <w:t xml:space="preserve">0xC3 0x01</w:t>
            </w:r>
            <w:r>
              <w:t xml:space="preserve"> </w:t>
            </w:r>
            <w:r>
              <w:t xml:space="preserve">+ CRC-64-AVRO fingerprint) so payloads are self-describing, a</w:t>
            </w:r>
            <w:r>
              <w:t xml:space="preserve"> </w:t>
            </w:r>
            <w:r>
              <w:rPr>
                <w:rStyle w:val="VerbatimChar"/>
              </w:rPr>
              <w:t xml:space="preserve">SchemaRegistry</w:t>
            </w:r>
            <w:r>
              <w:t xml:space="preserve"> </w:t>
            </w:r>
            <w:r>
              <w:t xml:space="preserve">for schema-VALIDATED routing (unknown fingerprint rejected), and writer→reader schema RESOLUTION enabling backward+forward-compatible evolution (defaulted fields fill reader-only, writer-only fields skip).</w:t>
            </w:r>
            <w:r>
              <w:t xml:space="preserve"> </w:t>
            </w:r>
            <w:r>
              <w:rPr>
                <w:rStyle w:val="VerbatimChar"/>
              </w:rPr>
              <w:t xml:space="preserve">NodeEventSchemaV1/V2</w:t>
            </w:r>
            <w:r>
              <w:t xml:space="preserve"> </w:t>
            </w:r>
            <w:r>
              <w:t xml:space="preserve">evolution round-trips both directions (HXC-1119). Wired into the live</w:t>
            </w:r>
            <w:r>
              <w:t xml:space="preserve"> </w:t>
            </w:r>
            <w:r>
              <w:rPr>
                <w:rStyle w:val="VerbatimChar"/>
              </w:rPr>
              <w:t xml:space="preserve">NATSBackend</w:t>
            </w:r>
            <w:r>
              <w:t xml:space="preserve"> </w:t>
            </w:r>
            <w:r>
              <w:t xml:space="preserve">wire path (</w:t>
            </w:r>
            <w:r>
              <w:rPr>
                <w:rStyle w:val="VerbatimChar"/>
              </w:rPr>
              <w:t xml:space="preserve">WireAvro</w:t>
            </w:r>
            <w:r>
              <w:t xml:space="preserve"> </w:t>
            </w:r>
            <w:r>
              <w:t xml:space="preserve">mode: NodeEvent published as an Avro single-object payload, subscriber decodes via the registry; JSON default preserved), proven against a real NATS broker via</w:t>
            </w:r>
            <w:r>
              <w:t xml:space="preserve"> </w:t>
            </w:r>
            <w:r>
              <w:rPr>
                <w:rStyle w:val="VerbatimChar"/>
              </w:rPr>
              <w:t xml:space="preserve">brokertest.StartNATS</w:t>
            </w:r>
            <w:r>
              <w:t xml:space="preserve"> </w:t>
            </w:r>
            <w:r>
              <w:t xml:space="preserve">asserting the</w:t>
            </w:r>
            <w:r>
              <w:t xml:space="preserve"> </w:t>
            </w:r>
            <w:r>
              <w:rPr>
                <w:rStyle w:val="VerbatimChar"/>
              </w:rPr>
              <w:t xml:space="preserve">0xC3 0x01</w:t>
            </w:r>
            <w:r>
              <w:t xml:space="preserve"> </w:t>
            </w:r>
            <w:r>
              <w:t xml:space="preserve">marker on the wire (HXC-1626).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edgeheartbeat</w:t>
            </w:r>
          </w:p>
        </w:tc>
        <w:tc>
          <w:tcPr/>
          <w:p>
            <w:pPr>
              <w:pStyle w:val="Compact"/>
            </w:pPr>
            <w:r>
              <w:t xml:space="preserve">Edge heartbeat carrying battery%/charging/CPU-temp/network-type with a churn-tolerant collector that marks a device offline past a configurable timeout; real per-OS</w:t>
            </w:r>
            <w:r>
              <w:t xml:space="preserve"> </w:t>
            </w:r>
            <w:r>
              <w:rPr>
                <w:rStyle w:val="VerbatimChar"/>
              </w:rPr>
              <w:t xml:space="preserve">TelemetrySource</w:t>
            </w:r>
            <w:r>
              <w:t xml:space="preserve"> </w:t>
            </w:r>
            <w:r>
              <w:t xml:space="preserve">(darwin</w:t>
            </w:r>
            <w:r>
              <w:t xml:space="preserve"> </w:t>
            </w:r>
            <w:r>
              <w:rPr>
                <w:rStyle w:val="VerbatimChar"/>
              </w:rPr>
              <w:t xml:space="preserve">pmset</w:t>
            </w:r>
            <w:r>
              <w:t xml:space="preserve">/</w:t>
            </w:r>
            <w:r>
              <w:rPr>
                <w:rStyle w:val="VerbatimChar"/>
              </w:rPr>
              <w:t xml:space="preserve">sysctl</w:t>
            </w:r>
            <w:r>
              <w:t xml:space="preserve">, linux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+</w:t>
            </w:r>
            <w:r>
              <w:rPr>
                <w:rStyle w:val="VerbatimChar"/>
              </w:rPr>
              <w:t xml:space="preserve">/proc/net</w:t>
            </w:r>
            <w:r>
              <w:t xml:space="preserve">) behind one interface, injected clock, validated over a real loopback transport (HXC-1185).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powergater</w:t>
            </w:r>
          </w:p>
        </w:tc>
        <w:tc>
          <w:tcPr/>
          <w:p>
            <w:pPr>
              <w:pStyle w:val="Compact"/>
            </w:pPr>
            <w:r>
              <w:t xml:space="preserve">Charging-gated work-acceptance guard:</w:t>
            </w:r>
            <w:r>
              <w:t xml:space="preserve"> </w:t>
            </w:r>
            <w:r>
              <w:rPr>
                <w:rStyle w:val="VerbatimChar"/>
              </w:rPr>
              <w:t xml:space="preserve">CanAcceptWork() (bool, reason)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not_charging</w:t>
            </w:r>
            <w:r>
              <w:t xml:space="preserve">/</w:t>
            </w:r>
            <w:r>
              <w:rPr>
                <w:rStyle w:val="VerbatimChar"/>
              </w:rPr>
              <w:t xml:space="preserve">battery_low_X%</w:t>
            </w:r>
            <w:r>
              <w:t xml:space="preserve">/</w:t>
            </w:r>
            <w:r>
              <w:rPr>
                <w:rStyle w:val="VerbatimChar"/>
              </w:rPr>
              <w:t xml:space="preserve">daytime</w:t>
            </w:r>
            <w:r>
              <w:t xml:space="preserve">/</w:t>
            </w:r>
            <w:r>
              <w:rPr>
                <w:rStyle w:val="VerbatimChar"/>
              </w:rPr>
              <w:t xml:space="preserve">cpu_hot_XC</w:t>
            </w:r>
            <w:r>
              <w:t xml:space="preserve"> </w:t>
            </w:r>
            <w:r>
              <w:t xml:space="preserve">from a real per-OS</w:t>
            </w:r>
            <w:r>
              <w:t xml:space="preserve"> </w:t>
            </w:r>
            <w:r>
              <w:rPr>
                <w:rStyle w:val="VerbatimChar"/>
              </w:rPr>
              <w:t xml:space="preserve">PowerSource</w:t>
            </w:r>
            <w:r>
              <w:t xml:space="preserve"> </w:t>
            </w:r>
            <w:r>
              <w:t xml:space="preserve">(darwin</w:t>
            </w:r>
            <w:r>
              <w:t xml:space="preserve"> </w:t>
            </w:r>
            <w:r>
              <w:rPr>
                <w:rStyle w:val="VerbatimChar"/>
              </w:rPr>
              <w:t xml:space="preserve">pmset</w:t>
            </w:r>
            <w:r>
              <w:t xml:space="preserve">, linux</w:t>
            </w:r>
            <w:r>
              <w:t xml:space="preserve"> </w:t>
            </w:r>
            <w:r>
              <w:rPr>
                <w:rStyle w:val="VerbatimChar"/>
              </w:rPr>
              <w:t xml:space="preserve">/sys/class/power_supply</w:t>
            </w:r>
            <w:r>
              <w:t xml:space="preserve">+</w:t>
            </w:r>
            <w:r>
              <w:rPr>
                <w:rStyle w:val="VerbatimChar"/>
              </w:rPr>
              <w:t xml:space="preserve">thermal</w:t>
            </w:r>
            <w:r>
              <w:t xml:space="preserve">) behind one interface (HXC-1175).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exportcontrol</w:t>
            </w:r>
          </w:p>
        </w:tc>
        <w:tc>
          <w:tcPr/>
          <w:p>
            <w:pPr>
              <w:pStyle w:val="Compact"/>
            </w:pPr>
            <w:r>
              <w:t xml:space="preserve">Export-control / country-code KYC gate on node onboarding: a controlled GPU (</w:t>
            </w:r>
            <w:r>
              <w:rPr>
                <w:rStyle w:val="VerbatimChar"/>
              </w:rPr>
              <w:t xml:space="preserve">H100</w:t>
            </w:r>
            <w:r>
              <w:t xml:space="preserve">/</w:t>
            </w:r>
            <w:r>
              <w:rPr>
                <w:rStyle w:val="VerbatimChar"/>
              </w:rPr>
              <w:t xml:space="preserve">A100</w:t>
            </w:r>
            <w:r>
              <w:t xml:space="preserve">) from a Tier-3 (embargoed) or unknown jurisdiction is rejected with</w:t>
            </w:r>
            <w:r>
              <w:t xml:space="preserve"> </w:t>
            </w:r>
            <w:r>
              <w:rPr>
                <w:rStyle w:val="VerbatimChar"/>
              </w:rPr>
              <w:t xml:space="preserve">ErrExportDenied</w:t>
            </w:r>
            <w:r>
              <w:t xml:space="preserve">; Tier-1 is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hybridkex</w:t>
            </w:r>
          </w:p>
        </w:tc>
        <w:tc>
          <w:tcPr/>
          <w:p>
            <w:pPr>
              <w:pStyle w:val="Compact"/>
            </w:pPr>
            <w:r>
              <w:t xml:space="preserve">Hybrid post-quantum key exchange combining X25519 (</w:t>
            </w:r>
            <w:r>
              <w:rPr>
                <w:rStyle w:val="VerbatimChar"/>
              </w:rPr>
              <w:t xml:space="preserve">crypto/ecdh</w:t>
            </w:r>
            <w:r>
              <w:t xml:space="preserve">) + ML-KEM-768 (</w:t>
            </w:r>
            <w:r>
              <w:rPr>
                <w:rStyle w:val="VerbatimChar"/>
              </w:rPr>
              <w:t xml:space="preserve">crypto/mlkem</w:t>
            </w:r>
            <w:r>
              <w:t xml:space="preserve">) shared secrets via HKDF-SHA256 (negotiated group</w:t>
            </w:r>
            <w:r>
              <w:t xml:space="preserve"> </w:t>
            </w:r>
            <w:r>
              <w:rPr>
                <w:rStyle w:val="VerbatimChar"/>
              </w:rPr>
              <w:t xml:space="preserve">X25519MLKEM768</w:t>
            </w:r>
            <w:r>
              <w:t xml:space="preserve">); both parties derive an identical 32-byte key, and a tampered ML-KEM ciphertext yields a non-matching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e2eebench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MeasureHandshakeLatency</w:t>
            </w:r>
            <w:r>
              <w:t xml:space="preserve"> </w:t>
            </w:r>
            <w:r>
              <w:t xml:space="preserve">benchmarks the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full handshake (median + P95 over many iterations), proving median &lt; 1ms on host and enforcing per-iteration key agreement (</w:t>
            </w:r>
            <w:r>
              <w:rPr>
                <w:rStyle w:val="VerbatimChar"/>
              </w:rPr>
              <w:t xml:space="preserve">ErrKeyDisagreement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compliancedoc</w:t>
            </w:r>
          </w:p>
        </w:tc>
        <w:tc>
          <w:tcPr/>
          <w:p>
            <w:pPr>
              <w:pStyle w:val="Compact"/>
            </w:pPr>
            <w:r>
              <w:t xml:space="preserve">EU AI Act compliance-documentation pipeline: generates a model card + technical-documentation artifact from attestation-log records with a SHA-256 provenance hash bound to the record content; empty logs →</w:t>
            </w:r>
            <w:r>
              <w:t xml:space="preserve"> </w:t>
            </w:r>
            <w:r>
              <w:rPr>
                <w:rStyle w:val="VerbatimChar"/>
              </w:rPr>
              <w:t xml:space="preserve">ErrNoAttestations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multigpu.go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Multi-GPU node enumeration: an N-GPU node descriptor yields N distinct, independently-verifiable per-device attestation proofs keyed by GPU UUID; rejects duplicate/empty descriptors.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</w:t>
            </w:r>
          </w:p>
        </w:tc>
        <w:tc>
          <w:tcPr/>
          <w:p>
            <w:pPr>
              <w:pStyle w:val="Compact"/>
            </w:pPr>
            <w:r>
              <w:t xml:space="preserve">Standalone FoundationDB-style deterministic simulation harness: single-threaded seeded-RNG event loop with injectable network (drop/delay/reorder) / disk (fault/stall) / logical clock; same seed yields a byte-for-byte identical trace and exact failure replay (independent of</w:t>
            </w:r>
            <w:r>
              <w:t xml:space="preserve"> </w:t>
            </w:r>
            <w:r>
              <w:rPr>
                <w:rStyle w:val="VerbatimChar"/>
              </w:rPr>
              <w:t xml:space="preserve">testing/dst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porcupine</w:t>
            </w:r>
          </w:p>
        </w:tc>
        <w:tc>
          <w:tcPr/>
          <w:p>
            <w:pPr>
              <w:pStyle w:val="Compact"/>
            </w:pPr>
            <w:r>
              <w:t xml:space="preserve">Self-contained WGL linearizability checker + concurrent history recorder:</w:t>
            </w:r>
            <w:r>
              <w:t xml:space="preserve"> </w:t>
            </w:r>
            <w:r>
              <w:rPr>
                <w:rStyle w:val="VerbatimChar"/>
              </w:rPr>
              <w:t xml:space="preserve">CheckOperations(model, history)</w:t>
            </w:r>
            <w:r>
              <w:t xml:space="preserve"> </w:t>
            </w:r>
            <w:r>
              <w:t xml:space="preserve">returns linearizable PASS / FAIL with the violating operation; verifies distributed-op histories under fault injection.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</w:t>
            </w:r>
          </w:p>
        </w:tc>
        <w:tc>
          <w:tcPr/>
          <w:p>
            <w:pPr>
              <w:pStyle w:val="Compact"/>
            </w:pPr>
            <w:r>
              <w:t xml:space="preserve">Chutes inference client + attestation + E2EE envelope/stream, plus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deployment descriptors with</w:t>
            </w:r>
            <w:r>
              <w:t xml:space="preserve"> </w:t>
            </w:r>
            <w:r>
              <w:rPr>
                <w:rStyle w:val="VerbatimChar"/>
              </w:rPr>
              <w:t xml:space="preserve">Validate()</w:t>
            </w:r>
            <w:r>
              <w:t xml:space="preserve"> </w:t>
            </w:r>
            <w:r>
              <w:t xml:space="preserve">invariants (non-empty IDs/hotkeys,</w:t>
            </w:r>
            <w:r>
              <w:t xml:space="preserve"> </w:t>
            </w:r>
            <w:r>
              <w:rPr>
                <w:rStyle w:val="VerbatimChar"/>
              </w:rPr>
              <w:t xml:space="preserve">GPUCount&gt;0</w:t>
            </w:r>
            <w:r>
              <w:t xml:space="preserve">, non-negative cost, TEE consistency).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provider/chutes</w:t>
            </w:r>
          </w:p>
        </w:tc>
        <w:tc>
          <w:tcPr/>
          <w:p>
            <w:pPr>
              <w:pStyle w:val="Compact"/>
            </w:pPr>
            <w:r>
              <w:t xml:space="preserve">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/v1/chat/completions</w:t>
            </w:r>
            <w:r>
              <w:t xml:space="preserve"> </w:t>
            </w:r>
            <w:r>
              <w:t xml:space="preserve">provider (configurable base URL +</w:t>
            </w:r>
            <w:r>
              <w:t xml:space="preserve"> </w:t>
            </w:r>
            <w:r>
              <w:rPr>
                <w:rStyle w:val="VerbatimChar"/>
              </w:rPr>
              <w:t xml:space="preserve">cpk_</w:t>
            </w:r>
            <w:r>
              <w:t xml:space="preserve"> </w:t>
            </w:r>
            <w:r>
              <w:t xml:space="preserve">Bearer key,</w:t>
            </w:r>
            <w:r>
              <w:t xml:space="preserve"> </w:t>
            </w:r>
            <w:r>
              <w:rPr>
                <w:rStyle w:val="VerbatimChar"/>
              </w:rPr>
              <w:t xml:space="preserve">ChatCompletionRequest</w:t>
            </w:r>
            <w:r>
              <w:t xml:space="preserve">/</w:t>
            </w:r>
            <w:r>
              <w:rPr>
                <w:rStyle w:val="VerbatimChar"/>
              </w:rPr>
              <w:t xml:space="preserve">Response</w:t>
            </w:r>
            <w:r>
              <w:t xml:space="preserve">/</w:t>
            </w:r>
            <w:r>
              <w:rPr>
                <w:rStyle w:val="VerbatimChar"/>
              </w:rPr>
              <w:t xml:space="preserve">Message</w:t>
            </w:r>
            <w:r>
              <w:t xml:space="preserve">/</w:t>
            </w:r>
            <w:r>
              <w:rPr>
                <w:rStyle w:val="VerbatimChar"/>
              </w:rPr>
              <w:t xml:space="preserve">Usage</w:t>
            </w:r>
            <w:r>
              <w:t xml:space="preserve">) with HTTP-429 retry + ctx-interruptible backoff that honors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, and typed non-retryable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provider/runpod</w:t>
            </w:r>
          </w:p>
        </w:tc>
        <w:tc>
          <w:tcPr/>
          <w:p>
            <w:pPr>
              <w:pStyle w:val="Compact"/>
            </w:pPr>
            <w:r>
              <w:t xml:space="preserve">RunPodProvider serverless GPU adapter (implements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 with a warm-pool fast path (pre-warmed instances served before cold provisioning) over an injectable client.</w:t>
            </w:r>
            <w:r>
              <w:t xml:space="preserve"> </w:t>
            </w:r>
            <w:r>
              <w:rPr>
                <w:rStyle w:val="VerbatimChar"/>
              </w:rPr>
              <w:t xml:space="preserve">Provision</w:t>
            </w:r>
            <w:r>
              <w:t xml:space="preserve"> </w:t>
            </w:r>
            <w:r>
              <w:t xml:space="preserve">releases the mutex across the</w:t>
            </w:r>
            <w:r>
              <w:t xml:space="preserve"> </w:t>
            </w:r>
            <w:r>
              <w:rPr>
                <w:rStyle w:val="VerbatimChar"/>
              </w:rPr>
              <w:t xml:space="preserve">ColdProvision</w:t>
            </w:r>
            <w:r>
              <w:t xml:space="preserve"> </w:t>
            </w:r>
            <w:r>
              <w:t xml:space="preserve">RPC (reserve-slot → unlock → RPC → relock → record/rollback) so concurrent cold provisions overlap while a</w:t>
            </w:r>
            <w:r>
              <w:t xml:space="preserve"> </w:t>
            </w:r>
            <w:r>
              <w:rPr>
                <w:rStyle w:val="VerbatimChar"/>
              </w:rPr>
              <w:t xml:space="preserve">reserved</w:t>
            </w:r>
            <w:r>
              <w:t xml:space="preserve"> </w:t>
            </w:r>
            <w:r>
              <w:t xml:space="preserve">counter keeps capacity correct;</w:t>
            </w:r>
            <w:r>
              <w:t xml:space="preserve"> </w:t>
            </w:r>
            <w:r>
              <w:rPr>
                <w:rStyle w:val="VerbatimChar"/>
              </w:rPr>
              <w:t xml:space="preserve">EndpointOf(id)</w:t>
            </w:r>
            <w:r>
              <w:t xml:space="preserve"> </w:t>
            </w:r>
            <w:r>
              <w:t xml:space="preserve">exposes the reachable worker endpoint (HXC-919).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provider/aws</w:t>
            </w:r>
          </w:p>
        </w:tc>
        <w:tc>
          <w:tcPr/>
          <w:p>
            <w:pPr>
              <w:pStyle w:val="Compact"/>
            </w:pPr>
            <w:r>
              <w:t xml:space="preserve">AWSProvider EC2 Spot adapter (implements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 over an injectable EC2-client interface (no aws-sdk dependency): GPU model→instance-type selection (p5/p4de/g5), Spot + tagging, and a TOCTOU-safe capacity gate (</w:t>
            </w:r>
            <w:r>
              <w:rPr>
                <w:rStyle w:val="VerbatimChar"/>
              </w:rPr>
              <w:t xml:space="preserve">launched+reserved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provider/ionet</w:t>
            </w:r>
          </w:p>
        </w:tc>
        <w:tc>
          <w:tcPr/>
          <w:p>
            <w:pPr>
              <w:pStyle w:val="Compact"/>
            </w:pPr>
            <w:r>
              <w:t xml:space="preserve">IONetProvider over the io.net REST API (</w:t>
            </w:r>
            <w:r>
              <w:rPr>
                <w:rStyle w:val="VerbatimChar"/>
              </w:rPr>
              <w:t xml:space="preserve">cloud.io.net/api/v1</w:t>
            </w:r>
            <w:r>
              <w:t xml:space="preserve">, injectable base URL +</w:t>
            </w:r>
            <w:r>
              <w:t xml:space="preserve"> </w:t>
            </w:r>
            <w:r>
              <w:rPr>
                <w:rStyle w:val="VerbatimChar"/>
              </w:rPr>
              <w:t xml:space="preserve">*http.Client</w:t>
            </w:r>
            <w:r>
              <w:t xml:space="preserve"> </w:t>
            </w:r>
            <w:r>
              <w:t xml:space="preserve">+ bearer; implements</w:t>
            </w:r>
            <w:r>
              <w:t xml:space="preserve"> </w:t>
            </w:r>
            <w:r>
              <w:rPr>
                <w:rStyle w:val="VerbatimChar"/>
              </w:rPr>
              <w:t xml:space="preserve">pool.GPUProvider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DeployCluster</w:t>
            </w:r>
            <w:r>
              <w:t xml:space="preserve"> </w:t>
            </w:r>
            <w:r>
              <w:t xml:space="preserve">(gpu_type/count/region/image/command/env) returns the backend-minted cluster run-UUID (parsed, never fabricated),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 </w:t>
            </w:r>
            <w:r>
              <w:t xml:space="preserve">derives healthy state on the active cluster, and a concurrency-safe reserve-under-lock capacity gate; closure proven against a</w:t>
            </w:r>
            <w:r>
              <w:t xml:space="preserve"> </w:t>
            </w:r>
            <w:r>
              <w:rPr>
                <w:rStyle w:val="VerbatimChar"/>
              </w:rPr>
              <w:t xml:space="preserve">net/http/httptest</w:t>
            </w:r>
            <w:r>
              <w:t xml:space="preserve"> </w:t>
            </w:r>
            <w:r>
              <w:t xml:space="preserve">io.net backend.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GetCurrentPricing</w:t>
            </w:r>
            <w:r>
              <w:t xml:space="preserve">/</w:t>
            </w:r>
            <w:r>
              <w:rPr>
                <w:rStyle w:val="VerbatimChar"/>
              </w:rPr>
              <w:t xml:space="preserve">SubmitWork</w:t>
            </w:r>
            <w:r>
              <w:t xml:space="preserve">) with a</w:t>
            </w:r>
            <w:r>
              <w:t xml:space="preserve"> </w:t>
            </w:r>
            <w:r>
              <w:rPr>
                <w:rStyle w:val="VerbatimChar"/>
              </w:rPr>
              <w:t xml:space="preserve">Name()</w:t>
            </w:r>
            <w:r>
              <w:t xml:space="preserve">-keyed dispatch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  <w:r>
              <w:t xml:space="preserve">, an HTTP-backed</w:t>
            </w:r>
            <w:r>
              <w:t xml:space="preserve"> </w:t>
            </w:r>
            <w:r>
              <w:rPr>
                <w:rStyle w:val="VerbatimChar"/>
              </w:rPr>
              <w:t xml:space="preserve">ChutesAdapter</w:t>
            </w:r>
            <w:r>
              <w:t xml:space="preserve"> </w:t>
            </w:r>
            <w:r>
              <w:t xml:space="preserve">(non-2xx rejected), and an</w:t>
            </w:r>
            <w:r>
              <w:t xml:space="preserve"> </w:t>
            </w:r>
            <w:r>
              <w:rPr>
                <w:rStyle w:val="VerbatimChar"/>
              </w:rPr>
              <w:t xml:space="preserve">AkashAdapter</w:t>
            </w:r>
            <w:r>
              <w:t xml:space="preserve"> </w:t>
            </w:r>
            <w:r>
              <w:t xml:space="preserve">(Cosmos/AKT reverse-auction pricing, SDL submission, provider-reputation gate) over an injectable client; routes work to the named marketplace.</w:t>
            </w:r>
            <w:r>
              <w:t xml:space="preserve"> </w:t>
            </w:r>
            <w:r>
              <w:rPr>
                <w:rStyle w:val="VerbatimChar"/>
              </w:rPr>
              <w:t xml:space="preserve">buildSDL</w:t>
            </w:r>
            <w:r>
              <w:t xml:space="preserve"> </w:t>
            </w:r>
            <w:r>
              <w:t xml:space="preserve">YAML-double-quote-encodes caller-controlled</w:t>
            </w:r>
            <w:r>
              <w:t xml:space="preserve"> </w:t>
            </w:r>
            <w:r>
              <w:rPr>
                <w:rStyle w:val="VerbatimChar"/>
              </w:rPr>
              <w:t xml:space="preserve">WorkSpec</w:t>
            </w:r>
            <w:r>
              <w:t xml:space="preserve"> </w:t>
            </w:r>
            <w:r>
              <w:t xml:space="preserve">fields (</w:t>
            </w:r>
            <w:r>
              <w:rPr>
                <w:rStyle w:val="VerbatimChar"/>
              </w:rPr>
              <w:t xml:space="preserve">yamlQuote</w:t>
            </w:r>
            <w:r>
              <w:t xml:space="preserve">) so a crafted value cannot inject manifest structure, and the reputation gate clamps a non-positive</w:t>
            </w:r>
            <w:r>
              <w:t xml:space="preserve"> </w:t>
            </w:r>
            <w:r>
              <w:rPr>
                <w:rStyle w:val="VerbatimChar"/>
              </w:rPr>
              <w:t xml:space="preserve">MinReputation</w:t>
            </w:r>
            <w:r>
              <w:t xml:space="preserve"> </w:t>
            </w:r>
            <w:r>
              <w:t xml:space="preserve">to a 0.5 safe floor so a zero-value</w:t>
            </w:r>
            <w:r>
              <w:t xml:space="preserve"> </w:t>
            </w:r>
            <w:r>
              <w:rPr>
                <w:rStyle w:val="VerbatimChar"/>
              </w:rPr>
              <w:t xml:space="preserve">AkashAdapter{}</w:t>
            </w:r>
            <w:r>
              <w:t xml:space="preserve"> </w:t>
            </w:r>
            <w:r>
              <w:t xml:space="preserve">cannot admit everyone (HXC-918).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 (Prometheus-text</w:t>
            </w:r>
            <w:r>
              <w:t xml:space="preserve"> </w:t>
            </w:r>
            <w:r>
              <w:rPr>
                <w:rStyle w:val="VerbatimChar"/>
              </w:rPr>
              <w:t xml:space="preserve">NodeCollector</w:t>
            </w:r>
            <w:r>
              <w:t xml:space="preserve">); plus</w:t>
            </w:r>
            <w:r>
              <w:t xml:space="preserve"> </w:t>
            </w:r>
            <w:r>
              <w:rPr>
                <w:rStyle w:val="VerbatimChar"/>
              </w:rPr>
              <w:t xml:space="preserve">TierMetrics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tiermetrics.go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gpu_tier_utilization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gpu_cost_per_hour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provider_health</w:t>
            </w:r>
            <w:r>
              <w:t xml:space="preserve"> </w:t>
            </w:r>
            <w:r>
              <w:t xml:space="preserve">series, and</w:t>
            </w:r>
            <w:r>
              <w:t xml:space="preserve"> </w:t>
            </w:r>
            <w:r>
              <w:rPr>
                <w:rStyle w:val="VerbatimChar"/>
              </w:rPr>
              <w:t xml:space="preserve">EarningsMetrics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earningsmetrics.go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tao_earnings_total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graval_attestation_status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token_throughput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gpu_utilization</w:t>
            </w:r>
            <w:r>
              <w:t xml:space="preserve"> </w:t>
            </w:r>
            <w:r>
              <w:t xml:space="preserve">series — all with deterministic ordering and concurrent-safe setters.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aggregation; includes miner-api (HTTP liveness) and GraVal bootstrap DaemonSet attestation-readiness dependency checks wired into the rollup, which names the specific failing check on a healthy→unhealthy transition.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