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5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(Multi-Raft),</w:t>
            </w:r>
            <w:r>
              <w:t xml:space="preserve"> </w:t>
            </w:r>
            <w:r>
              <w:rPr>
                <w:rStyle w:val="VerbatimChar"/>
              </w:rPr>
              <w:t xml:space="preserve">multiraft</w:t>
            </w:r>
            <w:r>
              <w:t xml:space="preserve"> </w:t>
            </w:r>
            <w:r>
              <w:t xml:space="preserve">(per-shard etcd-raft groups, throughput scales with shard count),</w:t>
            </w:r>
            <w:r>
              <w:t xml:space="preserve"> </w:t>
            </w:r>
            <w:r>
              <w:rPr>
                <w:rStyle w:val="VerbatimChar"/>
              </w:rPr>
              <w:t xml:space="preserve">stonith</w:t>
            </w:r>
            <w:r>
              <w:t xml:space="preserve"> </w:t>
            </w:r>
            <w:r>
              <w:t xml:space="preserve">(STONITH fencing: IPMI/EC2/Azure/SBD + multi-level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warning),</w:t>
            </w:r>
            <w:r>
              <w:t xml:space="preserve"> </w:t>
            </w:r>
            <w:r>
              <w:rPr>
                <w:rStyle w:val="VerbatimChar"/>
              </w:rPr>
              <w:t xml:space="preserve">deviceplugin</w:t>
            </w:r>
            <w:r>
              <w:t xml:space="preserve"> </w:t>
            </w:r>
            <w:r>
              <w:t xml:space="preserve">(gRPC device-plugin / GRES fingerprinting + oversubscription rejection),</w:t>
            </w:r>
            <w:r>
              <w:t xml:space="preserve"> </w:t>
            </w:r>
            <w:r>
              <w:rPr>
                <w:rStyle w:val="VerbatimChar"/>
              </w:rPr>
              <w:t xml:space="preserve">internal/gpu</w:t>
            </w:r>
            <w:r>
              <w:t xml:space="preserve"> </w:t>
            </w:r>
            <w:r>
              <w:t xml:space="preserve">dual-workload reservation (Helix-PoW reserve + &gt;0.80 starvation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e2eebench</w:t>
            </w:r>
            <w:r>
              <w:t xml:space="preserve"> </w:t>
            </w:r>
            <w:r>
              <w:t xml:space="preserve">(hybridkex handshake-latency benchmark, median &lt;1ms),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(MarketplaceAdapter interface + Name()-dispatch registry + Chutes HTTP adapter),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chutes</w:t>
            </w:r>
            <w:r>
              <w:t xml:space="preserve"> </w:t>
            </w:r>
            <w:r>
              <w:t xml:space="preserve">(inference client + attestation + E2EE envelope +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/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validation),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30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docs/ARCHITECTURE.md</w:t>
        </w:r>
      </w:hyperlink>
      <w:r>
        <w:t xml:space="preserve"> </w:t>
      </w:r>
      <w:r>
        <w:t xml:space="preserve">— hardened L0–L7 architecture diagram + component map (lint-enforced by</w:t>
      </w:r>
      <w:r>
        <w:t xml:space="preserve"> </w:t>
      </w:r>
      <w:hyperlink r:id="rId21">
        <w:r>
          <w:rPr>
            <w:rStyle w:val="VerbatimChar"/>
          </w:rPr>
          <w:t xml:space="preserve">pkg/archlint</w:t>
        </w:r>
      </w:hyperlink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5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6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29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29"/>
    <w:bookmarkEnd w:id="30"/>
    <w:bookmarkStart w:id="31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31"/>
    <w:bookmarkStart w:id="32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2"/>
    <w:bookmarkStart w:id="3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5" Target="CODING_STANDARDS_C.md" TargetMode="External" /><Relationship Type="http://schemas.openxmlformats.org/officeDocument/2006/relationships/hyperlink" Id="rId24" Target="CODING_STANDARDS_GO.md" TargetMode="External" /><Relationship Type="http://schemas.openxmlformats.org/officeDocument/2006/relationships/hyperlink" Id="rId26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7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3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1" Target="pkg/archl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5" Target="CODING_STANDARDS_C.md" TargetMode="External" /><Relationship Type="http://schemas.openxmlformats.org/officeDocument/2006/relationships/hyperlink" Id="rId24" Target="CODING_STANDARDS_GO.md" TargetMode="External" /><Relationship Type="http://schemas.openxmlformats.org/officeDocument/2006/relationships/hyperlink" Id="rId26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7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3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1" Target="pkg/archl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