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19</w:t>
            </w:r>
          </w:p>
        </w:tc>
      </w:tr>
      <w:tr>
        <w:tc>
          <w:tcPr/>
          <w:p>
            <w:pPr>
              <w:pStyle w:val="Compact"/>
            </w:pPr>
            <w:r>
              <w:t xml:space="preserve">Bug</w:t>
            </w:r>
          </w:p>
        </w:tc>
        <w:tc>
          <w:tcPr/>
          <w:p>
            <w:pPr>
              <w:pStyle w:val="Compact"/>
            </w:pPr>
            <w:r>
              <w:t xml:space="preserve">Queued</w:t>
            </w:r>
          </w:p>
        </w:tc>
        <w:tc>
          <w:tcPr/>
          <w:p>
            <w:pPr>
              <w:pStyle w:val="Compact"/>
            </w:pPr>
            <w:r>
              <w:t xml:space="preserve">4</w:t>
            </w:r>
          </w:p>
        </w:tc>
      </w:tr>
      <w:tr>
        <w:tc>
          <w:tcPr/>
          <w:p>
            <w:pPr>
              <w:pStyle w:val="Compact"/>
            </w:pPr>
            <w:r>
              <w:t xml:space="preserve">Feature</w:t>
            </w:r>
          </w:p>
        </w:tc>
        <w:tc>
          <w:tcPr/>
          <w:p>
            <w:pPr>
              <w:pStyle w:val="Compact"/>
            </w:pPr>
            <w:r>
              <w:t xml:space="preserve">Implemented (→ Fixed.md)</w:t>
            </w:r>
          </w:p>
        </w:tc>
        <w:tc>
          <w:tcPr/>
          <w:p>
            <w:pPr>
              <w:pStyle w:val="Compact"/>
            </w:pPr>
            <w:r>
              <w:t xml:space="preserve">3</w:t>
            </w:r>
          </w:p>
        </w:tc>
      </w:tr>
      <w:tr>
        <w:tc>
          <w:tcPr/>
          <w:p>
            <w:pPr>
              <w:pStyle w:val="Compact"/>
            </w:pPr>
            <w:r>
              <w:t xml:space="preserve">Feature</w:t>
            </w:r>
          </w:p>
        </w:tc>
        <w:tc>
          <w:tcPr/>
          <w:p>
            <w:pPr>
              <w:pStyle w:val="Compact"/>
            </w:pPr>
            <w:r>
              <w:t xml:space="preserve">Queued</w:t>
            </w:r>
          </w:p>
        </w:tc>
        <w:tc>
          <w:tcPr/>
          <w:p>
            <w:pPr>
              <w:pStyle w:val="Compact"/>
            </w:pPr>
            <w:r>
              <w:t xml:space="preserve">3</w:t>
            </w:r>
          </w:p>
        </w:tc>
      </w:tr>
      <w:tr>
        <w:tc>
          <w:tcPr/>
          <w:p>
            <w:pPr>
              <w:pStyle w:val="Compact"/>
            </w:pPr>
            <w:r>
              <w:t xml:space="preserve">Task</w:t>
            </w:r>
          </w:p>
        </w:tc>
        <w:tc>
          <w:tcPr/>
          <w:p>
            <w:pPr>
              <w:pStyle w:val="Compact"/>
            </w:pPr>
            <w:r>
              <w:t xml:space="preserve">Completed (→ Fixed.md)</w:t>
            </w:r>
          </w:p>
        </w:tc>
        <w:tc>
          <w:tcPr/>
          <w:p>
            <w:pPr>
              <w:pStyle w:val="Compact"/>
            </w:pPr>
            <w:r>
              <w:t xml:space="preserve">18</w:t>
            </w:r>
          </w:p>
        </w:tc>
      </w:tr>
      <w:tr>
        <w:tc>
          <w:tcPr/>
          <w:p>
            <w:pPr>
              <w:pStyle w:val="Compact"/>
            </w:pPr>
            <w:r>
              <w:t xml:space="preserve">Task</w:t>
            </w:r>
          </w:p>
        </w:tc>
        <w:tc>
          <w:tcPr/>
          <w:p>
            <w:pPr>
              <w:pStyle w:val="Compact"/>
            </w:pPr>
            <w:r>
              <w:t xml:space="preserve">Fixed (→ Fixed.md)</w:t>
            </w:r>
          </w:p>
        </w:tc>
        <w:tc>
          <w:tcPr/>
          <w:p>
            <w:pPr>
              <w:pStyle w:val="Compact"/>
            </w:pPr>
            <w:r>
              <w:t xml:space="preserve">1</w:t>
            </w:r>
          </w:p>
        </w:tc>
      </w:tr>
      <w:tr>
        <w:tc>
          <w:tcPr/>
          <w:p>
            <w:pPr>
              <w:pStyle w:val="Compact"/>
            </w:pPr>
            <w:r>
              <w:t xml:space="preserve">Task</w:t>
            </w:r>
          </w:p>
        </w:tc>
        <w:tc>
          <w:tcPr/>
          <w:p>
            <w:pPr>
              <w:pStyle w:val="Compact"/>
            </w:pPr>
            <w:r>
              <w:t xml:space="preserve">Queued</w:t>
            </w:r>
          </w:p>
        </w:tc>
        <w:tc>
          <w:tcPr/>
          <w:p>
            <w:pPr>
              <w:pStyle w:val="Compact"/>
            </w:pPr>
            <w:r>
              <w:t xml:space="preserve">4</w:t>
            </w:r>
          </w:p>
        </w:tc>
      </w:tr>
      <w:tr>
        <w:tc>
          <w:tcPr/>
          <w:p>
            <w:pPr>
              <w:pStyle w:val="Compact"/>
            </w:pPr>
            <w:r>
              <w:rPr>
                <w:b/>
                <w:bCs/>
              </w:rPr>
              <w:t xml:space="preserve">TOTAL</w:t>
            </w:r>
          </w:p>
        </w:tc>
        <w:tc>
          <w:tcPr/>
          <w:p>
            <w:pPr>
              <w:pStyle w:val="Compact"/>
            </w:pPr>
          </w:p>
        </w:tc>
        <w:tc>
          <w:tcPr/>
          <w:p>
            <w:pPr>
              <w:pStyle w:val="Compact"/>
            </w:pPr>
            <w:r>
              <w:rPr>
                <w:b/>
                <w:bCs/>
              </w:rPr>
              <w:t xml:space="preserve">52</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HXA-001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helix_agent handler tests surfaced after round-109 fix</w:t>
            </w:r>
          </w:p>
        </w:tc>
      </w:tr>
      <w:tr>
        <w:tc>
          <w:tcPr/>
          <w:p>
            <w:pPr>
              <w:pStyle w:val="Compact"/>
            </w:pPr>
            <w:r>
              <w:t xml:space="preserve">HXA-002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helix_agent debate/llmprovider sibling-submodule API drift</w:t>
            </w:r>
          </w:p>
        </w:tc>
      </w:tr>
      <w:tr>
        <w:tc>
          <w:tcPr/>
          <w:p>
            <w:pPr>
              <w:pStyle w:val="Compact"/>
            </w:pPr>
            <w:r>
              <w:t xml:space="preserve">HXA-003</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HXC-001</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CONST-052 rename programme: meta-repo directories still PascalCase — CLOSED (→ Fixed.md)</w:t>
            </w:r>
          </w:p>
        </w:tc>
      </w:tr>
      <w:tr>
        <w:tc>
          <w:tcPr/>
          <w:p>
            <w:pPr>
              <w:pStyle w:val="Compact"/>
            </w:pPr>
            <w:r>
              <w:t xml:space="preserve">HXC-002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Round-74 residual LOGIC-class FAILs (CLOSED)</w:t>
            </w:r>
          </w:p>
        </w:tc>
      </w:tr>
      <w:tr>
        <w:tc>
          <w:tcPr/>
          <w:p>
            <w:pPr>
              <w:pStyle w:val="Compact"/>
            </w:pPr>
            <w:r>
              <w:t xml:space="preserve">HXC-003</w:t>
            </w:r>
          </w:p>
        </w:tc>
        <w:tc>
          <w:tcPr/>
          <w:p>
            <w:pPr>
              <w:pStyle w:val="Compact"/>
            </w:pPr>
            <w:r>
              <w:t xml:space="preserve">Feature</w:t>
            </w:r>
          </w:p>
        </w:tc>
        <w:tc>
          <w:tcPr/>
          <w:p>
            <w:pPr>
              <w:pStyle w:val="Compact"/>
            </w:pPr>
            <w:r>
              <w:t xml:space="preserve">Implemented (→ Fixed.md)</w:t>
            </w:r>
          </w:p>
        </w:tc>
        <w:tc>
          <w:tcPr/>
          <w:p>
            <w:pPr>
              <w:pStyle w:val="Compact"/>
            </w:pPr>
            <w:r>
              <w:t xml:space="preserve">High</w:t>
            </w:r>
          </w:p>
        </w:tc>
        <w:tc>
          <w:tcPr/>
          <w:p>
            <w:pPr>
              <w:pStyle w:val="Compact"/>
            </w:pPr>
            <w:r>
              <w:t xml:space="preserve">CONST-046 i18n migration backlog — CLOSED (migrated to docs/Fixed.md)</w:t>
            </w:r>
          </w:p>
        </w:tc>
      </w:tr>
      <w:tr>
        <w:tc>
          <w:tcPr/>
          <w:p>
            <w:pPr>
              <w:pStyle w:val="Compact"/>
            </w:pPr>
            <w:r>
              <w:t xml:space="preserve">HXC-004</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Recovery-batch under-verification (40% FAIL rate per round-193 audit)</w:t>
            </w:r>
          </w:p>
        </w:tc>
      </w:tr>
      <w:tr>
        <w:tc>
          <w:tcPr/>
          <w:p>
            <w:pPr>
              <w:pStyle w:val="Compact"/>
            </w:pPr>
            <w:r>
              <w:t xml:space="preserve">HXC-005</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rPr>
                <w:rStyle w:val="VerbatimChar"/>
              </w:rPr>
              <w:t xml:space="preserve">cmd/performance_optimization_standalone/main.go</w:t>
            </w:r>
            <w:r>
              <w:t xml:space="preserve"> </w:t>
            </w:r>
            <w:r>
              <w:t xml:space="preserve">is a CONST-035 simulation bluff</w:t>
            </w:r>
          </w:p>
        </w:tc>
      </w:tr>
      <w:tr>
        <w:tc>
          <w:tcPr/>
          <w:p>
            <w:pPr>
              <w:pStyle w:val="Compact"/>
            </w:pPr>
            <w:r>
              <w:t xml:space="preserve">HXC-006</w:t>
            </w:r>
          </w:p>
        </w:tc>
        <w:tc>
          <w:tcPr/>
          <w:p>
            <w:pPr>
              <w:pStyle w:val="Compact"/>
            </w:pPr>
            <w:r>
              <w:t xml:space="preserve">Feature</w:t>
            </w:r>
          </w:p>
        </w:tc>
        <w:tc>
          <w:tcPr/>
          <w:p>
            <w:pPr>
              <w:pStyle w:val="Compact"/>
            </w:pPr>
            <w:r>
              <w:t xml:space="preserve">Implemented (→ Fixed.md)</w:t>
            </w:r>
          </w:p>
        </w:tc>
        <w:tc>
          <w:tcPr/>
          <w:p>
            <w:pPr>
              <w:pStyle w:val="Compact"/>
            </w:pPr>
            <w:r>
              <w:t xml:space="preserve">High</w:t>
            </w:r>
          </w:p>
        </w:tc>
        <w:tc>
          <w:tcPr/>
          <w:p>
            <w:pPr>
              <w:pStyle w:val="Compact"/>
            </w:pPr>
            <w:r>
              <w:t xml:space="preserve">HelixCode Speed Programme — CLOSED (migrated to docs/Fixed.md)</w:t>
            </w:r>
          </w:p>
        </w:tc>
      </w:tr>
      <w:tr>
        <w:tc>
          <w:tcPr/>
          <w:p>
            <w:pPr>
              <w:pStyle w:val="Compact"/>
            </w:pPr>
            <w:r>
              <w:t xml:space="preserve">HXC-007</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Constitution §11.4.68/70-74 cascade + meta-pointer bump — CLOSED (migrated to docs/Fixed.md)</w:t>
            </w:r>
          </w:p>
        </w:tc>
      </w:tr>
      <w:tr>
        <w:tc>
          <w:tcPr/>
          <w:p>
            <w:pPr>
              <w:pStyle w:val="Compact"/>
            </w:pPr>
            <w:r>
              <w:t xml:space="preserve">HXC-008</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CONST-055 G1 governance gaps surfaced by post-constitution-pull validation sweep — CLOSED (migrated to docs/Fixed.md)</w:t>
            </w:r>
          </w:p>
        </w:tc>
      </w:tr>
      <w:tr>
        <w:tc>
          <w:tcPr/>
          <w:p>
            <w:pPr>
              <w:pStyle w:val="Compact"/>
            </w:pPr>
            <w:r>
              <w:t xml:space="preserve">HXC-009</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Owned-submodule GitHub ↔ GitLab mirror-divergence reconciliation — CLOSED (migrated to docs/Fixed.md)</w:t>
            </w:r>
          </w:p>
        </w:tc>
      </w:tr>
      <w:tr>
        <w:tc>
          <w:tcPr/>
          <w:p>
            <w:pPr>
              <w:pStyle w:val="Compact"/>
            </w:pPr>
            <w:r>
              <w:t xml:space="preserve">HXC-010</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End-to-end Kimi CLI + Qwen Code CodeGraph verification — CLOSED (migrated to docs/Fixed.md)</w:t>
            </w:r>
          </w:p>
        </w:tc>
      </w:tr>
      <w:tr>
        <w:tc>
          <w:tcPr/>
          <w:p>
            <w:pPr>
              <w:pStyle w:val="Compact"/>
            </w:pPr>
            <w:r>
              <w:t xml:space="preserve">HXC-013</w:t>
            </w:r>
          </w:p>
        </w:tc>
        <w:tc>
          <w:tcPr/>
          <w:p>
            <w:pPr>
              <w:pStyle w:val="Compact"/>
            </w:pPr>
            <w:r>
              <w:t xml:space="preserve">Feature</w:t>
            </w:r>
          </w:p>
        </w:tc>
        <w:tc>
          <w:tcPr/>
          <w:p>
            <w:pPr>
              <w:pStyle w:val="Compact"/>
            </w:pPr>
            <w:r>
              <w:t xml:space="preserve">Implemented (→ Fixed.md)</w:t>
            </w:r>
          </w:p>
        </w:tc>
        <w:tc>
          <w:tcPr/>
          <w:p>
            <w:pPr>
              <w:pStyle w:val="Compact"/>
            </w:pPr>
            <w:r>
              <w:t xml:space="preserve">—</w:t>
            </w:r>
          </w:p>
        </w:tc>
        <w:tc>
          <w:tcPr/>
          <w:p>
            <w:pPr>
              <w:pStyle w:val="Compact"/>
            </w:pPr>
            <w:r>
              <w:t xml:space="preserve">Adopt SQLite-backed single-source-of-truth for workable items (§11.4.93/95)</w:t>
            </w:r>
          </w:p>
        </w:tc>
      </w:tr>
      <w:tr>
        <w:tc>
          <w:tcPr/>
          <w:p>
            <w:pPr>
              <w:pStyle w:val="Compact"/>
            </w:pPr>
            <w:r>
              <w:t xml:space="preserve">HXC-014</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Stress + chaos test coverage (§11.4.85)</w:t>
            </w:r>
          </w:p>
        </w:tc>
      </w:tr>
      <w:tr>
        <w:tc>
          <w:tcPr/>
          <w:p>
            <w:pPr>
              <w:pStyle w:val="Compact"/>
            </w:pPr>
            <w:r>
              <w:t xml:space="preserve">HXC-014b</w:t>
            </w:r>
          </w:p>
        </w:tc>
        <w:tc>
          <w:tcPr/>
          <w:p>
            <w:pPr>
              <w:pStyle w:val="Compact"/>
            </w:pPr>
            <w:r>
              <w:t xml:space="preserve">Bug</w:t>
            </w:r>
          </w:p>
        </w:tc>
        <w:tc>
          <w:tcPr/>
          <w:p>
            <w:pPr>
              <w:pStyle w:val="Compact"/>
            </w:pPr>
            <w:r>
              <w:t xml:space="preserve">Fixed (→ Fixed.md)</w:t>
            </w:r>
          </w:p>
        </w:tc>
        <w:tc>
          <w:tcPr/>
          <w:p>
            <w:pPr>
              <w:pStyle w:val="Compact"/>
            </w:pPr>
            <w:r>
              <w:t xml:space="preserve">Medium (latent: requires SetTranslator() concurrent with tr(); existing -race tests pass because SetTranslator is boot-only in practice)</w:t>
            </w:r>
          </w:p>
        </w:tc>
        <w:tc>
          <w:tcPr/>
          <w:p>
            <w:pPr>
              <w:pStyle w:val="Compact"/>
            </w:pPr>
            <w:r>
              <w:t xml:space="preserve">Systemic unguarded i18n translator.go data-race + panic-crash (cross-package)</w:t>
            </w:r>
          </w:p>
        </w:tc>
      </w:tr>
      <w:tr>
        <w:tc>
          <w:tcPr/>
          <w:p>
            <w:pPr>
              <w:pStyle w:val="Compact"/>
            </w:pPr>
            <w:r>
              <w:t xml:space="preserve">HXC-015</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Cross-platform parity (§11.4.81) — **Closure (2026-05-28, subagent-driven §11.</w:t>
            </w:r>
          </w:p>
        </w:tc>
      </w:tr>
      <w:tr>
        <w:tc>
          <w:tcPr/>
          <w:p>
            <w:pPr>
              <w:pStyle w:val="Compact"/>
            </w:pPr>
            <w:r>
              <w:t xml:space="preserve">HXC-016</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§11.4.69–97 governance cascade into owned submodules (CONST-047/§3) — CLOSED (→ Fixed.md)</w:t>
            </w:r>
          </w:p>
        </w:tc>
      </w:tr>
      <w:tr>
        <w:tc>
          <w:tcPr/>
          <w:p>
            <w:pPr>
              <w:pStyle w:val="Compact"/>
            </w:pPr>
            <w:r>
              <w:t xml:space="preserve">HXC-017</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CodeGraph own-org submodule indexing + update automation (§11.4.79/80) — CLOSED (→ Fixed.md)</w:t>
            </w:r>
          </w:p>
        </w:tc>
      </w:tr>
      <w:tr>
        <w:tc>
          <w:tcPr/>
          <w:p>
            <w:pPr>
              <w:pStyle w:val="Compact"/>
            </w:pPr>
            <w:r>
              <w:t xml:space="preserve">HXC-018</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Obsolete status (§11.4.90) + summary-doc clarity (§11.4.91) tracker tooling</w:t>
            </w:r>
          </w:p>
        </w:tc>
      </w:tr>
      <w:tr>
        <w:tc>
          <w:tcPr/>
          <w:p>
            <w:pPr>
              <w:pStyle w:val="Compact"/>
            </w:pPr>
            <w:r>
              <w:t xml:space="preserve">HXC-019</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docs/qa/ end-user evidence tree (§11.4.83)</w:t>
            </w:r>
          </w:p>
        </w:tc>
      </w:tr>
      <w:tr>
        <w:tc>
          <w:tcPr/>
          <w:p>
            <w:pPr>
              <w:pStyle w:val="Compact"/>
            </w:pPr>
            <w:r>
              <w:t xml:space="preserve">HXC-022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test_bank platform + integration packages do not compile (pre-existing) — CLOSED (→ Fixed.md)</w:t>
            </w:r>
          </w:p>
        </w:tc>
      </w:tr>
      <w:tr>
        <w:tc>
          <w:tcPr/>
          <w:p>
            <w:pPr>
              <w:pStyle w:val="Compact"/>
            </w:pPr>
            <w:r>
              <w:t xml:space="preserve">HXC-023</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HXC-024</w:t>
            </w:r>
          </w:p>
        </w:tc>
        <w:tc>
          <w:tcPr/>
          <w:p>
            <w:pPr>
              <w:pStyle w:val="Compact"/>
            </w:pPr>
            <w:r>
              <w:t xml:space="preserve">Bug</w:t>
            </w:r>
          </w:p>
        </w:tc>
        <w:tc>
          <w:tcPr/>
          <w:p>
            <w:pPr>
              <w:pStyle w:val="Compact"/>
            </w:pPr>
            <w:r>
              <w:t xml:space="preserve">Fixed (→ Fixed.md)</w:t>
            </w:r>
          </w:p>
        </w:tc>
        <w:tc>
          <w:tcPr/>
          <w:p>
            <w:pPr>
              <w:pStyle w:val="Compact"/>
            </w:pPr>
            <w:r>
              <w:t xml:space="preserve">Medium (CONST-050(B): the llm integration suite cannot compile/run; masks integration regressions + blocks the new ollama integration stress/chaos tests from running via the normal path)</w:t>
            </w:r>
          </w:p>
        </w:tc>
        <w:tc>
          <w:tcPr/>
          <w:p>
            <w:pPr>
              <w:pStyle w:val="Compact"/>
            </w:pPr>
            <w:r>
              <w:t xml:space="preserve">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HXC-025</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Constitution §11.4.98/99/101 cascade (CONST-047/§3/§11.4.26)</w:t>
            </w:r>
          </w:p>
        </w:tc>
      </w:tr>
      <w:tr>
        <w:tc>
          <w:tcPr/>
          <w:p>
            <w:pPr>
              <w:pStyle w:val="Compact"/>
            </w:pPr>
            <w:r>
              <w:t xml:space="preserve">HXC-026</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workable-items md↔db sync gate (§11.4.93/95 follow-up)</w:t>
            </w:r>
          </w:p>
        </w:tc>
      </w:tr>
      <w:tr>
        <w:tc>
          <w:tcPr/>
          <w:p>
            <w:pPr>
              <w:pStyle w:val="Compact"/>
            </w:pPr>
            <w:r>
              <w:t xml:space="preserve">HXC-027</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§11.4.98 live-test full-automation compliance audit</w:t>
            </w:r>
          </w:p>
        </w:tc>
      </w:tr>
      <w:tr>
        <w:tc>
          <w:tcPr/>
          <w:p>
            <w:pPr>
              <w:pStyle w:val="Compact"/>
            </w:pPr>
            <w:r>
              <w:t xml:space="preserve">HXC-028</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§11.4.99 latest-source documentation cross-reference (README)</w:t>
            </w:r>
          </w:p>
        </w:tc>
      </w:tr>
      <w:tr>
        <w:tc>
          <w:tcPr/>
          <w:p>
            <w:pPr>
              <w:pStyle w:val="Compact"/>
            </w:pPr>
            <w:r>
              <w:t xml:space="preserve">HXC-029</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§11.4.98 full-automation compliance sweep of every live/integration/e2e/Challenge test (no human-in-the-loop) — CLOSED (→ Fixed.md)</w:t>
            </w:r>
          </w:p>
        </w:tc>
      </w:tr>
      <w:tr>
        <w:tc>
          <w:tcPr/>
          <w:p>
            <w:pPr>
              <w:pStyle w:val="Compact"/>
            </w:pPr>
            <w:r>
              <w:t xml:space="preserve">HXC-030</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§11.4.99 forward: latest-source documentation cross-reference sweep across all operator-facing docs — CLOSED (→ Fixed.md)</w:t>
            </w:r>
          </w:p>
        </w:tc>
      </w:tr>
      <w:tr>
        <w:tc>
          <w:tcPr/>
          <w:p>
            <w:pPr>
              <w:pStyle w:val="Compact"/>
            </w:pPr>
            <w:r>
              <w:t xml:space="preserve">HXC-032</w:t>
            </w:r>
          </w:p>
        </w:tc>
        <w:tc>
          <w:tcPr/>
          <w:p>
            <w:pPr>
              <w:pStyle w:val="Compact"/>
            </w:pPr>
            <w:r>
              <w:t xml:space="preserve">Bug</w:t>
            </w:r>
          </w:p>
        </w:tc>
        <w:tc>
          <w:tcPr/>
          <w:p>
            <w:pPr>
              <w:pStyle w:val="Compact"/>
            </w:pPr>
            <w:r>
              <w:t xml:space="preserve">Fixed (→ Fixed.md)</w:t>
            </w:r>
          </w:p>
        </w:tc>
        <w:tc>
          <w:tcPr/>
          <w:p>
            <w:pPr>
              <w:pStyle w:val="Compact"/>
            </w:pP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p>
        </w:tc>
        <w:tc>
          <w:tcPr/>
          <w:p>
            <w:pPr>
              <w:pStyle w:val="Compact"/>
            </w:pPr>
            <w:r>
              <w:t xml:space="preserve">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HXC-033</w:t>
            </w:r>
          </w:p>
        </w:tc>
        <w:tc>
          <w:tcPr/>
          <w:p>
            <w:pPr>
              <w:pStyle w:val="Compact"/>
            </w:pPr>
            <w:r>
              <w:t xml:space="preserve">Bug</w:t>
            </w:r>
          </w:p>
        </w:tc>
        <w:tc>
          <w:tcPr/>
          <w:p>
            <w:pPr>
              <w:pStyle w:val="Compact"/>
            </w:pPr>
            <w:r>
              <w:t xml:space="preserve">Fixed (→ Fixed.md)</w:t>
            </w:r>
          </w:p>
        </w:tc>
        <w:tc>
          <w:tcPr/>
          <w:p>
            <w:pPr>
              <w:pStyle w:val="Compact"/>
            </w:pPr>
            <w:r>
              <w:t xml:space="preserve">High (§11.4.79 release-blocker — AI agents querying the code-graph get NO own-org submodule symbols; index also unbuildable)</w:t>
            </w:r>
          </w:p>
        </w:tc>
        <w:tc>
          <w:tcPr/>
          <w:p>
            <w:pPr>
              <w:pStyle w:val="Compact"/>
            </w:pPr>
            <w:r>
              <w:t xml:space="preserve">codegraph 0.9.7 update: full index/sync crashes + own-org submodules dropped from the index (§11.4.79 regression) — CLOSED (→ Fixed.md)</w:t>
            </w:r>
          </w:p>
        </w:tc>
      </w:tr>
      <w:tr>
        <w:tc>
          <w:tcPr/>
          <w:p>
            <w:pPr>
              <w:pStyle w:val="Compact"/>
            </w:pPr>
            <w:r>
              <w:t xml:space="preserve">HXC-034</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Cascade constitution §11.4.102 into owned submodules + implement CM-COVENANT-114-102-PROPAGATION gate — CLOSED (→ Fixed.md)</w:t>
            </w:r>
          </w:p>
        </w:tc>
      </w:tr>
      <w:tr>
        <w:tc>
          <w:tcPr/>
          <w:p>
            <w:pPr>
              <w:pStyle w:val="Compact"/>
            </w:pPr>
            <w:r>
              <w:t xml:space="preserve">HXC-035</w:t>
            </w:r>
          </w:p>
        </w:tc>
        <w:tc>
          <w:tcPr/>
          <w:p>
            <w:pPr>
              <w:pStyle w:val="Compact"/>
            </w:pPr>
            <w:r>
              <w:t xml:space="preserve">Bug</w:t>
            </w:r>
          </w:p>
        </w:tc>
        <w:tc>
          <w:tcPr/>
          <w:p>
            <w:pPr>
              <w:pStyle w:val="Compact"/>
            </w:pPr>
            <w:r>
              <w:t xml:space="preserve">Fixed (→ Fixed.md)</w:t>
            </w:r>
          </w:p>
        </w:tc>
        <w:tc>
          <w:tcPr/>
          <w:p>
            <w:pPr>
              <w:pStyle w:val="Compact"/>
            </w:pPr>
            <w:r>
              <w:t xml:space="preserve">High (no user can register → no JWT mintable → every authenticated API path is undrivable; blocks the positive-path coverage of all 4 HXC-029 API banks)</w:t>
            </w:r>
          </w:p>
        </w:tc>
        <w:tc>
          <w:tcPr/>
          <w:p>
            <w:pPr>
              <w:pStyle w:val="Compact"/>
            </w:pP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HXC-036</w:t>
            </w:r>
          </w:p>
        </w:tc>
        <w:tc>
          <w:tcPr/>
          <w:p>
            <w:pPr>
              <w:pStyle w:val="Compact"/>
            </w:pPr>
            <w:r>
              <w:t xml:space="preserve">Task</w:t>
            </w:r>
          </w:p>
        </w:tc>
        <w:tc>
          <w:tcPr/>
          <w:p>
            <w:pPr>
              <w:pStyle w:val="Compact"/>
            </w:pPr>
            <w:r>
              <w:t xml:space="preserve">Fixed (→ Fixed.md)</w:t>
            </w:r>
          </w:p>
        </w:tc>
        <w:tc>
          <w:tcPr/>
          <w:p>
            <w:pPr>
              <w:pStyle w:val="Compact"/>
            </w:pPr>
            <w:r>
              <w:t xml:space="preserve">—</w:t>
            </w:r>
          </w:p>
        </w:tc>
        <w:tc>
          <w:tcPr/>
          <w:p>
            <w:pPr>
              <w:pStyle w:val="Compact"/>
            </w:pPr>
            <w:r>
              <w:t xml:space="preserve">Systemic CONST-046 i18n defect: 74 packages emitted raw message-ID keys because boot-time translator wiring was never implemented — CLOSED (→ Fixed.md)</w:t>
            </w:r>
          </w:p>
        </w:tc>
      </w:tr>
      <w:tr>
        <w:tc>
          <w:tcPr/>
          <w:p>
            <w:pPr>
              <w:pStyle w:val="Compact"/>
            </w:pPr>
            <w:r>
              <w:t xml:space="preserve">HXC-117</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HXC-118</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HXC-119</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HXC-122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HXC-126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HXC-134</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HXC-135</w:t>
            </w:r>
          </w:p>
        </w:tc>
        <w:tc>
          <w:tcPr/>
          <w:p>
            <w:pPr>
              <w:pStyle w:val="Compact"/>
            </w:pPr>
            <w:r>
              <w:t xml:space="preserve">Feature</w:t>
            </w:r>
          </w:p>
        </w:tc>
        <w:tc>
          <w:tcPr/>
          <w:p>
            <w:pPr>
              <w:pStyle w:val="Compact"/>
            </w:pPr>
            <w:r>
              <w:t xml:space="preserve">Queued</w:t>
            </w:r>
          </w:p>
        </w:tc>
        <w:tc>
          <w:tcPr/>
          <w:p>
            <w:pPr>
              <w:pStyle w:val="Compact"/>
            </w:pPr>
            <w:r>
              <w:t xml:space="preserve">Medium</w:t>
            </w:r>
          </w:p>
        </w:tc>
        <w:tc>
          <w:tcPr/>
          <w:p>
            <w:pPr>
              <w:pStyle w:val="Compac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HXC-136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HXC-138</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HXC-140</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tc>
      </w:tr>
      <w:tr>
        <w:tc>
          <w:tcPr/>
          <w:p>
            <w:pPr>
              <w:pStyle w:val="Compact"/>
            </w:pPr>
            <w:r>
              <w:t xml:space="preserve">HXC-141</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tc>
      </w:tr>
      <w:tr>
        <w:tc>
          <w:tcPr/>
          <w:p>
            <w:pPr>
              <w:pStyle w:val="Compact"/>
            </w:pPr>
            <w:r>
              <w:t xml:space="preserve">HXL-001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HXL-002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HXQ-001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helix_qa intermittent TestPerformance flake (host-load-sensitive)</w:t>
            </w:r>
          </w:p>
        </w:tc>
      </w:tr>
      <w:tr>
        <w:tc>
          <w:tcPr/>
          <w:p>
            <w:pPr>
              <w:pStyle w:val="Compact"/>
            </w:pPr>
            <w:r>
              <w:t xml:space="preserve">HXV-002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PAN-001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VEN-001</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VisionEngine</w:t>
            </w:r>
            <w:r>
              <w:t xml:space="preserve"> </w:t>
            </w:r>
            <w:r>
              <w:rPr>
                <w:rStyle w:val="VerbatimChar"/>
              </w:rPr>
              <w:t xml:space="preserve">helix-gitlab</w:t>
            </w:r>
            <w:r>
              <w:t xml:space="preserve"> </w:t>
            </w:r>
            <w:r>
              <w:t xml:space="preserve">remote repo missing (404) — CLOSED (→ Fixed.md)</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2026-07-12T10:24:07Z</dcterms:created>
  <dcterms:modified xsi:type="dcterms:W3CDTF">2026-07-12T10:24:07Z</dcterms:modified>
</cp:coreProperties>
</file>

<file path=docProps/custom.xml><?xml version="1.0" encoding="utf-8"?>
<Properties xmlns="http://schemas.openxmlformats.org/officeDocument/2006/custom-properties" xmlns:vt="http://schemas.openxmlformats.org/officeDocument/2006/docPropsVTypes"/>
</file>