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ssues_summary"/>
    <w:p>
      <w:pPr>
        <w:pStyle w:val="Heading1"/>
      </w:pPr>
      <w:r>
        <w:t xml:space="preserve">Issues_Summary</w:t>
      </w:r>
    </w:p>
    <w:p>
      <w:pPr>
        <w:pStyle w:val="FirstParagraph"/>
      </w:pPr>
      <w:r>
        <w:t xml:space="preserve">Open workable items (current_location = Issues), regenerated from the SQLite single-source-of-truth (§11.4.12).</w:t>
      </w:r>
    </w:p>
    <w:bookmarkStart w:id="9" w:name="counts-by-type-status"/>
    <w:p>
      <w:pPr>
        <w:pStyle w:val="Heading2"/>
      </w:pPr>
      <w:r>
        <w:t xml:space="preserve">Counts by Type ×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Status</w:t>
            </w:r>
          </w:p>
        </w:tc>
        <w:tc>
          <w:tcPr/>
          <w:p>
            <w:pPr>
              <w:pStyle w:val="Compact"/>
            </w:pPr>
            <w:r>
              <w:t xml:space="preserve">Count</w:t>
            </w:r>
          </w:p>
        </w:tc>
      </w:tr>
      <w:tr>
        <w:tc>
          <w:tcPr/>
          <w:p>
            <w:pPr>
              <w:pStyle w:val="Compact"/>
            </w:pPr>
            <w:r>
              <w:t xml:space="preserve">Bug</w:t>
            </w:r>
          </w:p>
        </w:tc>
        <w:tc>
          <w:tcPr/>
          <w:p>
            <w:pPr>
              <w:pStyle w:val="Compact"/>
            </w:pPr>
            <w:r>
              <w:t xml:space="preserve">Fixed (→ Fixed.md)</w:t>
            </w:r>
          </w:p>
        </w:tc>
        <w:tc>
          <w:tcPr/>
          <w:p>
            <w:pPr>
              <w:pStyle w:val="Compact"/>
            </w:pPr>
            <w:r>
              <w:t xml:space="preserve">19</w:t>
            </w:r>
          </w:p>
        </w:tc>
      </w:tr>
      <w:tr>
        <w:tc>
          <w:tcPr/>
          <w:p>
            <w:pPr>
              <w:pStyle w:val="Compact"/>
            </w:pPr>
            <w:r>
              <w:t xml:space="preserve">Bug</w:t>
            </w:r>
          </w:p>
        </w:tc>
        <w:tc>
          <w:tcPr/>
          <w:p>
            <w:pPr>
              <w:pStyle w:val="Compact"/>
            </w:pPr>
            <w:r>
              <w:t xml:space="preserve">Queued</w:t>
            </w:r>
          </w:p>
        </w:tc>
        <w:tc>
          <w:tcPr/>
          <w:p>
            <w:pPr>
              <w:pStyle w:val="Compact"/>
            </w:pPr>
            <w:r>
              <w:t xml:space="preserve">2</w:t>
            </w:r>
          </w:p>
        </w:tc>
      </w:tr>
      <w:tr>
        <w:tc>
          <w:tcPr/>
          <w:p>
            <w:pPr>
              <w:pStyle w:val="Compact"/>
            </w:pPr>
            <w:r>
              <w:t xml:space="preserve">Feature</w:t>
            </w:r>
          </w:p>
        </w:tc>
        <w:tc>
          <w:tcPr/>
          <w:p>
            <w:pPr>
              <w:pStyle w:val="Compact"/>
            </w:pPr>
            <w:r>
              <w:t xml:space="preserve">Implemented (→ Fixed.md)</w:t>
            </w:r>
          </w:p>
        </w:tc>
        <w:tc>
          <w:tcPr/>
          <w:p>
            <w:pPr>
              <w:pStyle w:val="Compact"/>
            </w:pPr>
            <w:r>
              <w:t xml:space="preserve">3</w:t>
            </w:r>
          </w:p>
        </w:tc>
      </w:tr>
      <w:tr>
        <w:tc>
          <w:tcPr/>
          <w:p>
            <w:pPr>
              <w:pStyle w:val="Compact"/>
            </w:pPr>
            <w:r>
              <w:t xml:space="preserve">Feature</w:t>
            </w:r>
          </w:p>
        </w:tc>
        <w:tc>
          <w:tcPr/>
          <w:p>
            <w:pPr>
              <w:pStyle w:val="Compact"/>
            </w:pPr>
            <w:r>
              <w:t xml:space="preserve">Queued</w:t>
            </w:r>
          </w:p>
        </w:tc>
        <w:tc>
          <w:tcPr/>
          <w:p>
            <w:pPr>
              <w:pStyle w:val="Compact"/>
            </w:pPr>
            <w:r>
              <w:t xml:space="preserve">2</w:t>
            </w:r>
          </w:p>
        </w:tc>
      </w:tr>
      <w:tr>
        <w:tc>
          <w:tcPr/>
          <w:p>
            <w:pPr>
              <w:pStyle w:val="Compact"/>
            </w:pPr>
            <w:r>
              <w:t xml:space="preserve">Task</w:t>
            </w:r>
          </w:p>
        </w:tc>
        <w:tc>
          <w:tcPr/>
          <w:p>
            <w:pPr>
              <w:pStyle w:val="Compact"/>
            </w:pPr>
            <w:r>
              <w:t xml:space="preserve">Completed (→ Fixed.md)</w:t>
            </w:r>
          </w:p>
        </w:tc>
        <w:tc>
          <w:tcPr/>
          <w:p>
            <w:pPr>
              <w:pStyle w:val="Compact"/>
            </w:pPr>
            <w:r>
              <w:t xml:space="preserve">18</w:t>
            </w:r>
          </w:p>
        </w:tc>
      </w:tr>
      <w:tr>
        <w:tc>
          <w:tcPr/>
          <w:p>
            <w:pPr>
              <w:pStyle w:val="Compact"/>
            </w:pPr>
            <w:r>
              <w:t xml:space="preserve">Task</w:t>
            </w:r>
          </w:p>
        </w:tc>
        <w:tc>
          <w:tcPr/>
          <w:p>
            <w:pPr>
              <w:pStyle w:val="Compact"/>
            </w:pPr>
            <w:r>
              <w:t xml:space="preserve">Fixed (→ Fixed.md)</w:t>
            </w:r>
          </w:p>
        </w:tc>
        <w:tc>
          <w:tcPr/>
          <w:p>
            <w:pPr>
              <w:pStyle w:val="Compact"/>
            </w:pPr>
            <w:r>
              <w:t xml:space="preserve">1</w:t>
            </w:r>
          </w:p>
        </w:tc>
      </w:tr>
      <w:tr>
        <w:tc>
          <w:tcPr/>
          <w:p>
            <w:pPr>
              <w:pStyle w:val="Compact"/>
            </w:pPr>
            <w:r>
              <w:t xml:space="preserve">Task</w:t>
            </w:r>
          </w:p>
        </w:tc>
        <w:tc>
          <w:tcPr/>
          <w:p>
            <w:pPr>
              <w:pStyle w:val="Compact"/>
            </w:pPr>
            <w:r>
              <w:t xml:space="preserve">Queued</w:t>
            </w:r>
          </w:p>
        </w:tc>
        <w:tc>
          <w:tcPr/>
          <w:p>
            <w:pPr>
              <w:pStyle w:val="Compact"/>
            </w:pPr>
            <w:r>
              <w:t xml:space="preserve">6</w:t>
            </w:r>
          </w:p>
        </w:tc>
      </w:tr>
      <w:tr>
        <w:tc>
          <w:tcPr/>
          <w:p>
            <w:pPr>
              <w:pStyle w:val="Compact"/>
            </w:pPr>
            <w:r>
              <w:rPr>
                <w:b/>
                <w:bCs/>
              </w:rPr>
              <w:t xml:space="preserve">TOTAL</w:t>
            </w:r>
          </w:p>
        </w:tc>
        <w:tc>
          <w:tcPr/>
          <w:p>
            <w:pPr>
              <w:pStyle w:val="Compact"/>
            </w:pPr>
          </w:p>
        </w:tc>
        <w:tc>
          <w:tcPr/>
          <w:p>
            <w:pPr>
              <w:pStyle w:val="Compact"/>
            </w:pPr>
            <w:r>
              <w:rPr>
                <w:b/>
                <w:bCs/>
              </w:rPr>
              <w:t xml:space="preserve">51</w:t>
            </w:r>
          </w:p>
        </w:tc>
      </w:tr>
    </w:tbl>
    <w:bookmarkEnd w:id="9"/>
    <w:bookmarkStart w:id="10" w:name="items"/>
    <w:p>
      <w:pPr>
        <w:pStyle w:val="Heading2"/>
      </w:pPr>
      <w:r>
        <w:t xml:space="preserve">Items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ATM ID</w:t>
            </w:r>
          </w:p>
        </w:tc>
        <w:tc>
          <w:tcPr/>
          <w:p>
            <w:pPr>
              <w:pStyle w:val="Compact"/>
            </w:pPr>
            <w:r>
              <w:t xml:space="preserve">Type</w:t>
            </w:r>
          </w:p>
        </w:tc>
        <w:tc>
          <w:tcPr/>
          <w:p>
            <w:pPr>
              <w:pStyle w:val="Compact"/>
            </w:pPr>
            <w:r>
              <w:t xml:space="preserve">Status</w:t>
            </w:r>
          </w:p>
        </w:tc>
        <w:tc>
          <w:tcPr/>
          <w:p>
            <w:pPr>
              <w:pStyle w:val="Compact"/>
            </w:pPr>
            <w:r>
              <w:t xml:space="preserve">Severity</w:t>
            </w:r>
          </w:p>
        </w:tc>
        <w:tc>
          <w:tcPr/>
          <w:p>
            <w:pPr>
              <w:pStyle w:val="Compact"/>
            </w:pPr>
            <w:r>
              <w:t xml:space="preserve">Description</w:t>
            </w:r>
          </w:p>
        </w:tc>
      </w:tr>
      <w:tr>
        <w:tc>
          <w:tcPr/>
          <w:p>
            <w:pPr>
              <w:pStyle w:val="Compact"/>
            </w:pPr>
            <w:r>
              <w:t xml:space="preserve">HXA-001</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t xml:space="preserve">helix_agent handler tests surfaced after round-109 fix</w:t>
            </w:r>
          </w:p>
        </w:tc>
      </w:tr>
      <w:tr>
        <w:tc>
          <w:tcPr/>
          <w:p>
            <w:pPr>
              <w:pStyle w:val="Compact"/>
            </w:pPr>
            <w:r>
              <w:t xml:space="preserve">HXA-002</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t xml:space="preserve">helix_agent debate/llmprovider sibling-submodule API drift</w:t>
            </w:r>
          </w:p>
        </w:tc>
      </w:tr>
      <w:tr>
        <w:tc>
          <w:tcPr/>
          <w:p>
            <w:pPr>
              <w:pStyle w:val="Compact"/>
            </w:pPr>
            <w:r>
              <w:t xml:space="preserve">HXA-003</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t xml:space="preserve">venice</w:t>
            </w:r>
            <w:r>
              <w:t xml:space="preserve"> </w:t>
            </w:r>
            <w:r>
              <w:rPr>
                <w:rStyle w:val="VerbatimChar"/>
              </w:rPr>
              <w:t xml:space="preserve">TestGetCapabilities</w:t>
            </w:r>
            <w:r>
              <w:t xml:space="preserve"> </w:t>
            </w:r>
            <w:r>
              <w:t xml:space="preserve">model-list drift (CONST-037)</w:t>
            </w:r>
          </w:p>
        </w:tc>
      </w:tr>
      <w:tr>
        <w:tc>
          <w:tcPr/>
          <w:p>
            <w:pPr>
              <w:pStyle w:val="Compact"/>
            </w:pPr>
            <w:r>
              <w:t xml:space="preserve">HXC-001</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CONST-052 rename programme: meta-repo directories still PascalCase — CLOSED (→ Fixed.md)</w:t>
            </w:r>
          </w:p>
        </w:tc>
      </w:tr>
      <w:tr>
        <w:tc>
          <w:tcPr/>
          <w:p>
            <w:pPr>
              <w:pStyle w:val="Compact"/>
            </w:pPr>
            <w:r>
              <w:t xml:space="preserve">HXC-002</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t xml:space="preserve">Round-74 residual LOGIC-class FAILs (CLOSED)</w:t>
            </w:r>
          </w:p>
        </w:tc>
      </w:tr>
      <w:tr>
        <w:tc>
          <w:tcPr/>
          <w:p>
            <w:pPr>
              <w:pStyle w:val="Compact"/>
            </w:pPr>
            <w:r>
              <w:t xml:space="preserve">HXC-003</w:t>
            </w:r>
          </w:p>
        </w:tc>
        <w:tc>
          <w:tcPr/>
          <w:p>
            <w:pPr>
              <w:pStyle w:val="Compact"/>
            </w:pPr>
            <w:r>
              <w:t xml:space="preserve">Feature</w:t>
            </w:r>
          </w:p>
        </w:tc>
        <w:tc>
          <w:tcPr/>
          <w:p>
            <w:pPr>
              <w:pStyle w:val="Compact"/>
            </w:pPr>
            <w:r>
              <w:t xml:space="preserve">Implemented (→ Fixed.md)</w:t>
            </w:r>
          </w:p>
        </w:tc>
        <w:tc>
          <w:tcPr/>
          <w:p>
            <w:pPr>
              <w:pStyle w:val="Compact"/>
            </w:pPr>
            <w:r>
              <w:t xml:space="preserve">—</w:t>
            </w:r>
          </w:p>
        </w:tc>
        <w:tc>
          <w:tcPr/>
          <w:p>
            <w:pPr>
              <w:pStyle w:val="Compact"/>
            </w:pPr>
            <w:r>
              <w:t xml:space="preserve">CONST-046 i18n migration backlog — CLOSED (migrated to docs/Fixed.md)</w:t>
            </w:r>
          </w:p>
        </w:tc>
      </w:tr>
      <w:tr>
        <w:tc>
          <w:tcPr/>
          <w:p>
            <w:pPr>
              <w:pStyle w:val="Compact"/>
            </w:pPr>
            <w:r>
              <w:t xml:space="preserve">HXC-004</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t xml:space="preserve">Recovery-batch under-verification (40% FAIL rate per round-193 audit)</w:t>
            </w:r>
          </w:p>
        </w:tc>
      </w:tr>
      <w:tr>
        <w:tc>
          <w:tcPr/>
          <w:p>
            <w:pPr>
              <w:pStyle w:val="Compact"/>
            </w:pPr>
            <w:r>
              <w:t xml:space="preserve">HXC-005</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rPr>
                <w:rStyle w:val="VerbatimChar"/>
              </w:rPr>
              <w:t xml:space="preserve">cmd/performance_optimization_standalone/main.go</w:t>
            </w:r>
            <w:r>
              <w:t xml:space="preserve"> </w:t>
            </w:r>
            <w:r>
              <w:t xml:space="preserve">is a CONST-035 simulation bluff</w:t>
            </w:r>
          </w:p>
        </w:tc>
      </w:tr>
      <w:tr>
        <w:tc>
          <w:tcPr/>
          <w:p>
            <w:pPr>
              <w:pStyle w:val="Compact"/>
            </w:pPr>
            <w:r>
              <w:t xml:space="preserve">HXC-006</w:t>
            </w:r>
          </w:p>
        </w:tc>
        <w:tc>
          <w:tcPr/>
          <w:p>
            <w:pPr>
              <w:pStyle w:val="Compact"/>
            </w:pPr>
            <w:r>
              <w:t xml:space="preserve">Feature</w:t>
            </w:r>
          </w:p>
        </w:tc>
        <w:tc>
          <w:tcPr/>
          <w:p>
            <w:pPr>
              <w:pStyle w:val="Compact"/>
            </w:pPr>
            <w:r>
              <w:t xml:space="preserve">Implemented (→ Fixed.md)</w:t>
            </w:r>
          </w:p>
        </w:tc>
        <w:tc>
          <w:tcPr/>
          <w:p>
            <w:pPr>
              <w:pStyle w:val="Compact"/>
            </w:pPr>
            <w:r>
              <w:t xml:space="preserve">—</w:t>
            </w:r>
          </w:p>
        </w:tc>
        <w:tc>
          <w:tcPr/>
          <w:p>
            <w:pPr>
              <w:pStyle w:val="Compact"/>
            </w:pPr>
            <w:r>
              <w:t xml:space="preserve">HelixCode Speed Programme — CLOSED (migrated to docs/Fixed.md)</w:t>
            </w:r>
          </w:p>
        </w:tc>
      </w:tr>
      <w:tr>
        <w:tc>
          <w:tcPr/>
          <w:p>
            <w:pPr>
              <w:pStyle w:val="Compact"/>
            </w:pPr>
            <w:r>
              <w:t xml:space="preserve">HXC-007</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Constitution §11.4.68/70-74 cascade + meta-pointer bump — CLOSED (migrated to docs/Fixed.md)</w:t>
            </w:r>
          </w:p>
        </w:tc>
      </w:tr>
      <w:tr>
        <w:tc>
          <w:tcPr/>
          <w:p>
            <w:pPr>
              <w:pStyle w:val="Compact"/>
            </w:pPr>
            <w:r>
              <w:t xml:space="preserve">HXC-008</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t xml:space="preserve">CONST-055 G1 governance gaps surfaced by post-constitution-pull validation sweep — CLOSED (migrated to docs/Fixed.md)</w:t>
            </w:r>
          </w:p>
        </w:tc>
      </w:tr>
      <w:tr>
        <w:tc>
          <w:tcPr/>
          <w:p>
            <w:pPr>
              <w:pStyle w:val="Compact"/>
            </w:pPr>
            <w:r>
              <w:t xml:space="preserve">HXC-009</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Owned-submodule GitHub ↔ GitLab mirror-divergence reconciliation — CLOSED (migrated to docs/Fixed.md)</w:t>
            </w:r>
          </w:p>
        </w:tc>
      </w:tr>
      <w:tr>
        <w:tc>
          <w:tcPr/>
          <w:p>
            <w:pPr>
              <w:pStyle w:val="Compact"/>
            </w:pPr>
            <w:r>
              <w:t xml:space="preserve">HXC-010</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End-to-end Kimi CLI + Qwen Code CodeGraph verification — CLOSED (migrated to docs/Fixed.md)</w:t>
            </w:r>
          </w:p>
        </w:tc>
      </w:tr>
      <w:tr>
        <w:tc>
          <w:tcPr/>
          <w:p>
            <w:pPr>
              <w:pStyle w:val="Compact"/>
            </w:pPr>
            <w:r>
              <w:t xml:space="preserve">HXC-013</w:t>
            </w:r>
          </w:p>
        </w:tc>
        <w:tc>
          <w:tcPr/>
          <w:p>
            <w:pPr>
              <w:pStyle w:val="Compact"/>
            </w:pPr>
            <w:r>
              <w:t xml:space="preserve">Feature</w:t>
            </w:r>
          </w:p>
        </w:tc>
        <w:tc>
          <w:tcPr/>
          <w:p>
            <w:pPr>
              <w:pStyle w:val="Compact"/>
            </w:pPr>
            <w:r>
              <w:t xml:space="preserve">Implemented (→ Fixed.md)</w:t>
            </w:r>
          </w:p>
        </w:tc>
        <w:tc>
          <w:tcPr/>
          <w:p>
            <w:pPr>
              <w:pStyle w:val="Compact"/>
            </w:pPr>
            <w:r>
              <w:t xml:space="preserve">—</w:t>
            </w:r>
          </w:p>
        </w:tc>
        <w:tc>
          <w:tcPr/>
          <w:p>
            <w:pPr>
              <w:pStyle w:val="Compact"/>
            </w:pPr>
            <w:r>
              <w:t xml:space="preserve">Adopt SQLite-backed single-source-of-truth for workable items (§11.4.93/95)</w:t>
            </w:r>
          </w:p>
        </w:tc>
      </w:tr>
      <w:tr>
        <w:tc>
          <w:tcPr/>
          <w:p>
            <w:pPr>
              <w:pStyle w:val="Compact"/>
            </w:pPr>
            <w:r>
              <w:t xml:space="preserve">HXC-014</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Stress + chaos test coverage (§11.4.85)</w:t>
            </w:r>
          </w:p>
        </w:tc>
      </w:tr>
      <w:tr>
        <w:tc>
          <w:tcPr/>
          <w:p>
            <w:pPr>
              <w:pStyle w:val="Compact"/>
            </w:pPr>
            <w:r>
              <w:t xml:space="preserve">HXC-014b</w:t>
            </w:r>
          </w:p>
        </w:tc>
        <w:tc>
          <w:tcPr/>
          <w:p>
            <w:pPr>
              <w:pStyle w:val="Compact"/>
            </w:pPr>
            <w:r>
              <w:t xml:space="preserve">Bug</w:t>
            </w:r>
          </w:p>
        </w:tc>
        <w:tc>
          <w:tcPr/>
          <w:p>
            <w:pPr>
              <w:pStyle w:val="Compact"/>
            </w:pPr>
            <w:r>
              <w:t xml:space="preserve">Fixed (→ Fixed.md)</w:t>
            </w:r>
          </w:p>
        </w:tc>
        <w:tc>
          <w:tcPr/>
          <w:p>
            <w:pPr>
              <w:pStyle w:val="Compact"/>
            </w:pPr>
            <w:r>
              <w:t xml:space="preserve">Medium (latent: requires SetTranslator() concurrent with tr(); existing -race tests pass because SetTranslator is boot-only in practice)</w:t>
            </w:r>
          </w:p>
        </w:tc>
        <w:tc>
          <w:tcPr/>
          <w:p>
            <w:pPr>
              <w:pStyle w:val="Compact"/>
            </w:pPr>
            <w:r>
              <w:t xml:space="preserve">Systemic unguarded i18n translator.go data-race + panic-crash (cross-package)</w:t>
            </w:r>
          </w:p>
        </w:tc>
      </w:tr>
      <w:tr>
        <w:tc>
          <w:tcPr/>
          <w:p>
            <w:pPr>
              <w:pStyle w:val="Compact"/>
            </w:pPr>
            <w:r>
              <w:t xml:space="preserve">HXC-015</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Cross-platform parity (§11.4.81) — **Closure (2026-05-28, subagent-driven §11.</w:t>
            </w:r>
          </w:p>
        </w:tc>
      </w:tr>
      <w:tr>
        <w:tc>
          <w:tcPr/>
          <w:p>
            <w:pPr>
              <w:pStyle w:val="Compact"/>
            </w:pPr>
            <w:r>
              <w:t xml:space="preserve">HXC-016</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§11.4.69–97 governance cascade into owned submodules (CONST-047/§3) — CLOSED (→ Fixed.md)</w:t>
            </w:r>
          </w:p>
        </w:tc>
      </w:tr>
      <w:tr>
        <w:tc>
          <w:tcPr/>
          <w:p>
            <w:pPr>
              <w:pStyle w:val="Compact"/>
            </w:pPr>
            <w:r>
              <w:t xml:space="preserve">HXC-017</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CodeGraph own-org submodule indexing + update automation (§11.4.79/80) — CLOSED (→ Fixed.md)</w:t>
            </w:r>
          </w:p>
        </w:tc>
      </w:tr>
      <w:tr>
        <w:tc>
          <w:tcPr/>
          <w:p>
            <w:pPr>
              <w:pStyle w:val="Compact"/>
            </w:pPr>
            <w:r>
              <w:t xml:space="preserve">HXC-018</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Obsolete status (§11.4.90) + summary-doc clarity (§11.4.91) tracker tooling</w:t>
            </w:r>
          </w:p>
        </w:tc>
      </w:tr>
      <w:tr>
        <w:tc>
          <w:tcPr/>
          <w:p>
            <w:pPr>
              <w:pStyle w:val="Compact"/>
            </w:pPr>
            <w:r>
              <w:t xml:space="preserve">HXC-019</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docs/qa/ end-user evidence tree (§11.4.83)</w:t>
            </w:r>
          </w:p>
        </w:tc>
      </w:tr>
      <w:tr>
        <w:tc>
          <w:tcPr/>
          <w:p>
            <w:pPr>
              <w:pStyle w:val="Compact"/>
            </w:pPr>
            <w:r>
              <w:t xml:space="preserve">HXC-022</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t xml:space="preserve">test_bank platform + integration packages do not compile (pre-existing) — CLOSED (→ Fixed.md)</w:t>
            </w:r>
          </w:p>
        </w:tc>
      </w:tr>
      <w:tr>
        <w:tc>
          <w:tcPr/>
          <w:p>
            <w:pPr>
              <w:pStyle w:val="Compact"/>
            </w:pPr>
            <w:r>
              <w:t xml:space="preserve">HXC-023</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rPr>
                <w:rStyle w:val="VerbatimChar"/>
              </w:rPr>
              <w:t xml:space="preserve">Assert(true,…)</w:t>
            </w:r>
            <w:r>
              <w:t xml:space="preserve"> </w:t>
            </w:r>
            <w:r>
              <w:t xml:space="preserve">/</w:t>
            </w:r>
            <w:r>
              <w:t xml:space="preserve"> </w:t>
            </w:r>
            <w:r>
              <w:rPr>
                <w:rStyle w:val="VerbatimChar"/>
              </w:rPr>
              <w:t xml:space="preserve">AssertTrue(true,…)</w:t>
            </w:r>
            <w:r>
              <w:t xml:space="preserve"> </w:t>
            </w:r>
            <w:r>
              <w:t xml:space="preserve">literal-true bluffs across test_bank — CLOSED (→ Fixed.md)</w:t>
            </w:r>
          </w:p>
        </w:tc>
      </w:tr>
      <w:tr>
        <w:tc>
          <w:tcPr/>
          <w:p>
            <w:pPr>
              <w:pStyle w:val="Compact"/>
            </w:pPr>
            <w:r>
              <w:t xml:space="preserve">HXC-024</w:t>
            </w:r>
          </w:p>
        </w:tc>
        <w:tc>
          <w:tcPr/>
          <w:p>
            <w:pPr>
              <w:pStyle w:val="Compact"/>
            </w:pPr>
            <w:r>
              <w:t xml:space="preserve">Bug</w:t>
            </w:r>
          </w:p>
        </w:tc>
        <w:tc>
          <w:tcPr/>
          <w:p>
            <w:pPr>
              <w:pStyle w:val="Compact"/>
            </w:pPr>
            <w:r>
              <w:t xml:space="preserve">Fixed (→ Fixed.md)</w:t>
            </w:r>
          </w:p>
        </w:tc>
        <w:tc>
          <w:tcPr/>
          <w:p>
            <w:pPr>
              <w:pStyle w:val="Compact"/>
            </w:pPr>
            <w:r>
              <w:t xml:space="preserve">Medium (CONST-050(B): the llm integration suite cannot compile/run; masks integration regressions + blocks the new ollama integration stress/chaos tests from running via the normal path)</w:t>
            </w:r>
          </w:p>
        </w:tc>
        <w:tc>
          <w:tcPr/>
          <w:p>
            <w:pPr>
              <w:pStyle w:val="Compact"/>
            </w:pPr>
            <w:r>
              <w:t xml:space="preserve">internal/llm</w:t>
            </w:r>
            <w:r>
              <w:t xml:space="preserve"> </w:t>
            </w:r>
            <w:r>
              <w:rPr>
                <w:rStyle w:val="VerbatimChar"/>
              </w:rPr>
              <w:t xml:space="preserve">-tags=integration</w:t>
            </w:r>
            <w:r>
              <w:t xml:space="preserve"> </w:t>
            </w:r>
            <w:r>
              <w:t xml:space="preserve">build broken (stale tests reference deleted providers)</w:t>
            </w:r>
          </w:p>
        </w:tc>
      </w:tr>
      <w:tr>
        <w:tc>
          <w:tcPr/>
          <w:p>
            <w:pPr>
              <w:pStyle w:val="Compact"/>
            </w:pPr>
            <w:r>
              <w:t xml:space="preserve">HXC-025</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Constitution §11.4.98/99/101 cascade (CONST-047/§3/§11.4.26)</w:t>
            </w:r>
          </w:p>
        </w:tc>
      </w:tr>
      <w:tr>
        <w:tc>
          <w:tcPr/>
          <w:p>
            <w:pPr>
              <w:pStyle w:val="Compact"/>
            </w:pPr>
            <w:r>
              <w:t xml:space="preserve">HXC-026</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workable-items md↔db sync gate (§11.4.93/95 follow-up)</w:t>
            </w:r>
          </w:p>
        </w:tc>
      </w:tr>
      <w:tr>
        <w:tc>
          <w:tcPr/>
          <w:p>
            <w:pPr>
              <w:pStyle w:val="Compact"/>
            </w:pPr>
            <w:r>
              <w:t xml:space="preserve">HXC-027</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§11.4.98 live-test full-automation compliance audit</w:t>
            </w:r>
          </w:p>
        </w:tc>
      </w:tr>
      <w:tr>
        <w:tc>
          <w:tcPr/>
          <w:p>
            <w:pPr>
              <w:pStyle w:val="Compact"/>
            </w:pPr>
            <w:r>
              <w:t xml:space="preserve">HXC-028</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§11.4.99 latest-source documentation cross-reference (README)</w:t>
            </w:r>
          </w:p>
        </w:tc>
      </w:tr>
      <w:tr>
        <w:tc>
          <w:tcPr/>
          <w:p>
            <w:pPr>
              <w:pStyle w:val="Compact"/>
            </w:pPr>
            <w:r>
              <w:t xml:space="preserve">HXC-029</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§11.4.98 full-automation compliance sweep of every live/integration/e2e/Challenge test (no human-in-the-loop) — CLOSED (→ Fixed.md)</w:t>
            </w:r>
          </w:p>
        </w:tc>
      </w:tr>
      <w:tr>
        <w:tc>
          <w:tcPr/>
          <w:p>
            <w:pPr>
              <w:pStyle w:val="Compact"/>
            </w:pPr>
            <w:r>
              <w:t xml:space="preserve">HXC-030</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§11.4.99 forward: latest-source documentation cross-reference sweep across all operator-facing docs — CLOSED (→ Fixed.md)</w:t>
            </w:r>
          </w:p>
        </w:tc>
      </w:tr>
      <w:tr>
        <w:tc>
          <w:tcPr/>
          <w:p>
            <w:pPr>
              <w:pStyle w:val="Compact"/>
            </w:pPr>
            <w:r>
              <w:t xml:space="preserve">HXC-032</w:t>
            </w:r>
          </w:p>
        </w:tc>
        <w:tc>
          <w:tcPr/>
          <w:p>
            <w:pPr>
              <w:pStyle w:val="Compact"/>
            </w:pPr>
            <w:r>
              <w:t xml:space="preserve">Bug</w:t>
            </w:r>
          </w:p>
        </w:tc>
        <w:tc>
          <w:tcPr/>
          <w:p>
            <w:pPr>
              <w:pStyle w:val="Compact"/>
            </w:pPr>
            <w:r>
              <w:t xml:space="preserve">Fixed (→ Fixed.md)</w:t>
            </w:r>
          </w:p>
        </w:tc>
        <w:tc>
          <w:tcPr/>
          <w:p>
            <w:pPr>
              <w:pStyle w:val="Compact"/>
            </w:pPr>
            <w:r>
              <w:t xml:space="preserve">High (breaks</w:t>
            </w:r>
            <w:r>
              <w:t xml:space="preserve"> </w:t>
            </w:r>
            <w:r>
              <w:rPr>
                <w:rStyle w:val="VerbatimChar"/>
              </w:rPr>
              <w:t xml:space="preserve">helix_agent</w:t>
            </w:r>
            <w:r>
              <w:t xml:space="preserve"> </w:t>
            </w:r>
            <w:r>
              <w:rPr>
                <w:rStyle w:val="VerbatimChar"/>
              </w:rPr>
              <w:t xml:space="preserve">go build ./...</w:t>
            </w:r>
            <w:r>
              <w:t xml:space="preserve">; a §11.4 PASS-bluff at the build layer — tracked source does not compile)</w:t>
            </w:r>
          </w:p>
        </w:tc>
        <w:tc>
          <w:tcPr/>
          <w:p>
            <w:pPr>
              <w:pStyle w:val="Compact"/>
            </w:pPr>
            <w:r>
              <w:t xml:space="preserve">LLMOrchestrator submodule: committed merge-conflict markers break</w:t>
            </w:r>
            <w:r>
              <w:t xml:space="preserve"> </w:t>
            </w:r>
            <w:r>
              <w:rPr>
                <w:rStyle w:val="VerbatimChar"/>
              </w:rPr>
              <w:t xml:space="preserve">helix_agent</w:t>
            </w:r>
            <w:r>
              <w:t xml:space="preserve"> </w:t>
            </w:r>
            <w:r>
              <w:t xml:space="preserve">build — CLOSED (→ Fixed.md)</w:t>
            </w:r>
          </w:p>
        </w:tc>
      </w:tr>
      <w:tr>
        <w:tc>
          <w:tcPr/>
          <w:p>
            <w:pPr>
              <w:pStyle w:val="Compact"/>
            </w:pPr>
            <w:r>
              <w:t xml:space="preserve">HXC-033</w:t>
            </w:r>
          </w:p>
        </w:tc>
        <w:tc>
          <w:tcPr/>
          <w:p>
            <w:pPr>
              <w:pStyle w:val="Compact"/>
            </w:pPr>
            <w:r>
              <w:t xml:space="preserve">Bug</w:t>
            </w:r>
          </w:p>
        </w:tc>
        <w:tc>
          <w:tcPr/>
          <w:p>
            <w:pPr>
              <w:pStyle w:val="Compact"/>
            </w:pPr>
            <w:r>
              <w:t xml:space="preserve">Fixed (→ Fixed.md)</w:t>
            </w:r>
          </w:p>
        </w:tc>
        <w:tc>
          <w:tcPr/>
          <w:p>
            <w:pPr>
              <w:pStyle w:val="Compact"/>
            </w:pPr>
            <w:r>
              <w:t xml:space="preserve">High (§11.4.79 release-blocker — AI agents querying the code-graph get NO own-org submodule symbols; index also unbuildable)</w:t>
            </w:r>
          </w:p>
        </w:tc>
        <w:tc>
          <w:tcPr/>
          <w:p>
            <w:pPr>
              <w:pStyle w:val="Compact"/>
            </w:pPr>
            <w:r>
              <w:t xml:space="preserve">codegraph 0.9.7 update: full index/sync crashes + own-org submodules dropped from the index (§11.4.79 regression) — CLOSED (→ Fixed.md)</w:t>
            </w:r>
          </w:p>
        </w:tc>
      </w:tr>
      <w:tr>
        <w:tc>
          <w:tcPr/>
          <w:p>
            <w:pPr>
              <w:pStyle w:val="Compact"/>
            </w:pPr>
            <w:r>
              <w:t xml:space="preserve">HXC-034</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Cascade constitution §11.4.102 into owned submodules + implement CM-COVENANT-114-102-PROPAGATION gate — CLOSED (→ Fixed.md)</w:t>
            </w:r>
          </w:p>
        </w:tc>
      </w:tr>
      <w:tr>
        <w:tc>
          <w:tcPr/>
          <w:p>
            <w:pPr>
              <w:pStyle w:val="Compact"/>
            </w:pPr>
            <w:r>
              <w:t xml:space="preserve">HXC-035</w:t>
            </w:r>
          </w:p>
        </w:tc>
        <w:tc>
          <w:tcPr/>
          <w:p>
            <w:pPr>
              <w:pStyle w:val="Compact"/>
            </w:pPr>
            <w:r>
              <w:t xml:space="preserve">Bug</w:t>
            </w:r>
          </w:p>
        </w:tc>
        <w:tc>
          <w:tcPr/>
          <w:p>
            <w:pPr>
              <w:pStyle w:val="Compact"/>
            </w:pPr>
            <w:r>
              <w:t xml:space="preserve">Fixed (→ Fixed.md)</w:t>
            </w:r>
          </w:p>
        </w:tc>
        <w:tc>
          <w:tcPr/>
          <w:p>
            <w:pPr>
              <w:pStyle w:val="Compact"/>
            </w:pPr>
            <w:r>
              <w:t xml:space="preserve">High (no user can register → no JWT mintable → every authenticated API path is undrivable; blocks the positive-path coverage of all 4 HXC-029 API banks)</w:t>
            </w:r>
          </w:p>
        </w:tc>
        <w:tc>
          <w:tcPr/>
          <w:p>
            <w:pPr>
              <w:pStyle w:val="Compact"/>
            </w:pPr>
            <w:r>
              <w:rPr>
                <w:rStyle w:val="VerbatimChar"/>
              </w:rPr>
              <w:t xml:space="preserve">POST /api/v1/auth/register</w:t>
            </w:r>
            <w:r>
              <w:t xml:space="preserve"> </w:t>
            </w:r>
            <w:r>
              <w:t xml:space="preserve">returns 400</w:t>
            </w:r>
            <w:r>
              <w:t xml:space="preserve"> </w:t>
            </w:r>
            <w:r>
              <w:rPr>
                <w:rStyle w:val="VerbatimChar"/>
              </w:rPr>
              <w:t xml:space="preserve">internal_auth_failed_create_user</w:t>
            </w:r>
            <w:r>
              <w:t xml:space="preserve"> </w:t>
            </w:r>
            <w:r>
              <w:t xml:space="preserve">on the live server (blocks all authenticated flows) — CLOSED (→ Fixed.md)</w:t>
            </w:r>
          </w:p>
        </w:tc>
      </w:tr>
      <w:tr>
        <w:tc>
          <w:tcPr/>
          <w:p>
            <w:pPr>
              <w:pStyle w:val="Compact"/>
            </w:pPr>
            <w:r>
              <w:t xml:space="preserve">HXC-036</w:t>
            </w:r>
          </w:p>
        </w:tc>
        <w:tc>
          <w:tcPr/>
          <w:p>
            <w:pPr>
              <w:pStyle w:val="Compact"/>
            </w:pPr>
            <w:r>
              <w:t xml:space="preserve">Task</w:t>
            </w:r>
          </w:p>
        </w:tc>
        <w:tc>
          <w:tcPr/>
          <w:p>
            <w:pPr>
              <w:pStyle w:val="Compact"/>
            </w:pPr>
            <w:r>
              <w:t xml:space="preserve">Fixed (→ Fixed.md)</w:t>
            </w:r>
          </w:p>
        </w:tc>
        <w:tc>
          <w:tcPr/>
          <w:p>
            <w:pPr>
              <w:pStyle w:val="Compact"/>
            </w:pPr>
            <w:r>
              <w:t xml:space="preserve">—</w:t>
            </w:r>
          </w:p>
        </w:tc>
        <w:tc>
          <w:tcPr/>
          <w:p>
            <w:pPr>
              <w:pStyle w:val="Compact"/>
            </w:pPr>
            <w:r>
              <w:t xml:space="preserve">Systemic CONST-046 i18n defect: 74 packages emitted raw message-ID keys because boot-time translator wiring was never implemented — CLOSED (→ Fixed.md)</w:t>
            </w:r>
          </w:p>
        </w:tc>
      </w:tr>
      <w:tr>
        <w:tc>
          <w:tcPr/>
          <w:p>
            <w:pPr>
              <w:pStyle w:val="Compact"/>
            </w:pPr>
            <w:r>
              <w:t xml:space="preserve">HXC-117</w:t>
            </w:r>
          </w:p>
        </w:tc>
        <w:tc>
          <w:tcPr/>
          <w:p>
            <w:pPr>
              <w:pStyle w:val="Compact"/>
            </w:pPr>
            <w:r>
              <w:t xml:space="preserve">Bug</w:t>
            </w:r>
          </w:p>
        </w:tc>
        <w:tc>
          <w:tcPr/>
          <w:p>
            <w:pPr>
              <w:pStyle w:val="Compact"/>
            </w:pPr>
            <w:r>
              <w:t xml:space="preserve">Queued</w:t>
            </w:r>
          </w:p>
        </w:tc>
        <w:tc>
          <w:tcPr/>
          <w:p>
            <w:pPr>
              <w:pStyle w:val="Compact"/>
            </w:pPr>
            <w:r>
              <w:t xml:space="preserve">High</w:t>
            </w:r>
          </w:p>
        </w:tc>
        <w:tc>
          <w:tcPr/>
          <w:p>
            <w:pPr>
              <w:pStyle w:val="Compact"/>
            </w:pPr>
            <w:r>
              <w:t xml:space="preserve">Governance rule CONST-040 requires that every advanced capability a model supports be reported by the central verifier component rather than hardcoded. Today the verifier only records whether a model supports embeddings; the other six capabilities are documented as verifier-sourced but are not implemented there. As a result the product cannot truthfully tell users which models support which capabilities. The work adds these capability fields to the verifier’s results and has the product read them from there. Users then receive accurate, single-source-of-truth capability information.</w:t>
            </w:r>
          </w:p>
        </w:tc>
      </w:tr>
      <w:tr>
        <w:tc>
          <w:tcPr/>
          <w:p>
            <w:pPr>
              <w:pStyle w:val="Compact"/>
            </w:pPr>
            <w:r>
              <w:t xml:space="preserve">HXC-118</w:t>
            </w:r>
          </w:p>
        </w:tc>
        <w:tc>
          <w:tcPr/>
          <w:p>
            <w:pPr>
              <w:pStyle w:val="Compact"/>
            </w:pPr>
            <w:r>
              <w:t xml:space="preserve">Feature</w:t>
            </w:r>
          </w:p>
        </w:tc>
        <w:tc>
          <w:tcPr/>
          <w:p>
            <w:pPr>
              <w:pStyle w:val="Compact"/>
            </w:pPr>
            <w:r>
              <w:t xml:space="preserve">Queued</w:t>
            </w:r>
          </w:p>
        </w:tc>
        <w:tc>
          <w:tcPr/>
          <w:p>
            <w:pPr>
              <w:pStyle w:val="Compact"/>
            </w:pPr>
            <w:r>
              <w:t xml:space="preserve">High</w:t>
            </w:r>
          </w:p>
        </w:tc>
        <w:tc>
          <w:tcPr/>
          <w:p>
            <w:pPr>
              <w:pStyle w:val="Compact"/>
            </w:pPr>
            <w:r>
              <w:t xml:space="preserve">A dedicated Retrieval-Augmented-Generation component is maintained as its own reusable module, but the main application does not import or use it anywhere. A capability the product is expected to offer (answering using retrieved documents) is therefore effectively unavailable to end users despite the code existing. The work integrates the existing RAG module into the application, wires it into the request flow, and exposes its capability flag. Users gain working document-grounded answers instead of an orphaned, unused component.</w:t>
            </w:r>
          </w:p>
        </w:tc>
      </w:tr>
      <w:tr>
        <w:tc>
          <w:tcPr/>
          <w:p>
            <w:pPr>
              <w:pStyle w:val="Compact"/>
            </w:pPr>
            <w:r>
              <w:t xml:space="preserve">HXC-119</w:t>
            </w:r>
          </w:p>
        </w:tc>
        <w:tc>
          <w:tcPr/>
          <w:p>
            <w:pPr>
              <w:pStyle w:val="Compact"/>
            </w:pPr>
            <w:r>
              <w:t xml:space="preserve">Feature</w:t>
            </w:r>
          </w:p>
        </w:tc>
        <w:tc>
          <w:tcPr/>
          <w:p>
            <w:pPr>
              <w:pStyle w:val="Compact"/>
            </w:pPr>
            <w:r>
              <w:t xml:space="preserve">Queued</w:t>
            </w:r>
          </w:p>
        </w:tc>
        <w:tc>
          <w:tcPr/>
          <w:p>
            <w:pPr>
              <w:pStyle w:val="Compact"/>
            </w:pPr>
            <w:r>
              <w:t xml:space="preserve">High</w:t>
            </w:r>
          </w:p>
        </w:tc>
        <w:tc>
          <w:tcPr/>
          <w:p>
            <w:pPr>
              <w:pStyle w:val="Compact"/>
            </w:pPr>
            <w:r>
              <w:t xml:space="preserve">Governance rule CONST-040 lists the Agent Client Protocol among required capabilities, but there is no implementation of it anywhere in the codebase. Any user or integration expecting ACP connectivity currently cannot use it. The work is to design and implement real ACP support, or, if it proves structurally infeasible, to document that with cited evidence. The platform will then either genuinely support ACP or hold an honest, evidenced position instead of an unmet claim.</w:t>
            </w:r>
          </w:p>
        </w:tc>
      </w:tr>
      <w:tr>
        <w:tc>
          <w:tcPr/>
          <w:p>
            <w:pPr>
              <w:pStyle w:val="Compact"/>
            </w:pPr>
            <w:r>
              <w:t xml:space="preserve">HXC-122</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Two categories of tests, memory-usage and end-to-end automation, skip most of their cases by default because they require a live server or special environment flags not set in normal runs. In practice these areas are largely unverified even though the tests appear to exist. The work provides a documented, repeatable way to run them against real infrastructure so they actually execute and prove the behavior. Memory and automation behavior then becomes genuinely tested rather than merely scaffolded.</w:t>
            </w:r>
          </w:p>
        </w:tc>
      </w:tr>
      <w:tr>
        <w:tc>
          <w:tcPr/>
          <w:p>
            <w:pPr>
              <w:pStyle w:val="Compact"/>
            </w:pPr>
            <w:r>
              <w:t xml:space="preserve">HXC-124</w:t>
            </w:r>
          </w:p>
        </w:tc>
        <w:tc>
          <w:tcPr/>
          <w:p>
            <w:pPr>
              <w:pStyle w:val="Compact"/>
            </w:pPr>
            <w:r>
              <w:t xml:space="preserve">Bug</w:t>
            </w:r>
          </w:p>
        </w:tc>
        <w:tc>
          <w:tcPr/>
          <w:p>
            <w:pPr>
              <w:pStyle w:val="Compact"/>
            </w:pPr>
            <w:r>
              <w:t xml:space="preserve">Queued</w:t>
            </w:r>
          </w:p>
        </w:tc>
        <w:tc>
          <w:tcPr/>
          <w:p>
            <w:pPr>
              <w:pStyle w:val="Compact"/>
            </w:pPr>
            <w:r>
              <w:t xml:space="preserve">Medium</w:t>
            </w:r>
          </w:p>
        </w:tc>
        <w:tc>
          <w:tcPr/>
          <w:p>
            <w:pPr>
              <w:pStyle w:val="Compact"/>
            </w:pPr>
            <w:r>
              <w:t xml:space="preserve">One automated quality-assurance test bank that drives real server workflows has a documented gap: it cannot mint the authentication token needed to finish the workflow end-to-end without manual help, so it does not meet the fully-automated no-human-intervention standard. The work provides an automated way to obtain a valid token during the test so the workflow runs unattended. The QA bank then becomes fully automated and re-runnable.</w:t>
            </w:r>
          </w:p>
        </w:tc>
      </w:tr>
      <w:tr>
        <w:tc>
          <w:tcPr/>
          <w:p>
            <w:pPr>
              <w:pStyle w:val="Compact"/>
            </w:pPr>
            <w:r>
              <w:t xml:space="preserve">HXC-125</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A large set of integration tests is hidden behind a build tag, so an ordinary test run never compiles or executes them and their pass/fail signal is absent from routine checks. They pass when the tag is supplied, so this is a visibility gap, not a broken feature. The work makes the standard test command or a documented target include them so their status is always visible. Everyday test results then reflect integration coverage.</w:t>
            </w:r>
          </w:p>
        </w:tc>
      </w:tr>
      <w:tr>
        <w:tc>
          <w:tcPr/>
          <w:p>
            <w:pPr>
              <w:pStyle w:val="Compact"/>
            </w:pPr>
            <w:r>
              <w:t xml:space="preserve">HXC-126</w:t>
            </w:r>
          </w:p>
        </w:tc>
        <w:tc>
          <w:tcPr/>
          <w:p>
            <w:pPr>
              <w:pStyle w:val="Compact"/>
            </w:pPr>
            <w:r>
              <w:t xml:space="preserve">Task</w:t>
            </w:r>
          </w:p>
        </w:tc>
        <w:tc>
          <w:tcPr/>
          <w:p>
            <w:pPr>
              <w:pStyle w:val="Compact"/>
            </w:pPr>
            <w:r>
              <w:t xml:space="preserve">Queued</w:t>
            </w:r>
          </w:p>
        </w:tc>
        <w:tc>
          <w:tcPr/>
          <w:p>
            <w:pPr>
              <w:pStyle w:val="Compact"/>
            </w:pPr>
            <w:r>
              <w:t xml:space="preserve">Medium</w:t>
            </w:r>
          </w:p>
        </w:tc>
        <w:tc>
          <w:tcPr/>
          <w:p>
            <w:pPr>
              <w:pStyle w:val="Compact"/>
            </w:pPr>
            <w:r>
              <w:t xml:space="preserve">Eleven work items marked finished still appear in the open-issues document and are missing from the resolved-items document, so the two views disagree about their state and become untrustworthy. The work regenerates the tracker documents from the authoritative database so finished items appear only in the resolved view. The human-readable trackers then accurately reflect the true state.</w:t>
            </w:r>
          </w:p>
        </w:tc>
      </w:tr>
      <w:tr>
        <w:tc>
          <w:tcPr/>
          <w:p>
            <w:pPr>
              <w:pStyle w:val="Compact"/>
            </w:pPr>
            <w:r>
              <w:t xml:space="preserve">HXC-127</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When an item is retired as obsolete, governance requires a recorded reason, date, and superseding reference, but the table holding these details is completely empty, including for the one currently obsolete item. This leaves retirements unexplained and non-compliant. The work populates the required justification details for obsolete items so every retired item carries an auditable reason.</w:t>
            </w:r>
          </w:p>
        </w:tc>
      </w:tr>
      <w:tr>
        <w:tc>
          <w:tcPr/>
          <w:p>
            <w:pPr>
              <w:pStyle w:val="Compact"/>
            </w:pPr>
            <w:r>
              <w:t xml:space="preserve">HXC-128</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Thirty-six tracked items have descriptions shorter than the minimum length needed to convey what they are about, so a reader cannot understand them without reading code. The work rewrites these into clear plain-language descriptions explaining what each item is and why it matters. Every item then becomes understandable to non-developers and stakeholders.</w:t>
            </w:r>
          </w:p>
        </w:tc>
      </w:tr>
      <w:tr>
        <w:tc>
          <w:tcPr/>
          <w:p>
            <w:pPr>
              <w:pStyle w:val="Compact"/>
            </w:pPr>
            <w:r>
              <w:t xml:space="preserve">HXC-129</w:t>
            </w:r>
          </w:p>
        </w:tc>
        <w:tc>
          <w:tcPr/>
          <w:p>
            <w:pPr>
              <w:pStyle w:val="Compact"/>
            </w:pPr>
            <w:r>
              <w:t xml:space="preserve">Task</w:t>
            </w:r>
          </w:p>
        </w:tc>
        <w:tc>
          <w:tcPr/>
          <w:p>
            <w:pPr>
              <w:pStyle w:val="Compact"/>
            </w:pPr>
            <w:r>
              <w:t xml:space="preserve">Queued</w:t>
            </w:r>
          </w:p>
        </w:tc>
        <w:tc>
          <w:tcPr/>
          <w:p>
            <w:pPr>
              <w:pStyle w:val="Compact"/>
            </w:pPr>
            <w:r>
              <w:t xml:space="preserve">Low</w:t>
            </w:r>
          </w:p>
        </w:tc>
        <w:tc>
          <w:tcPr/>
          <w:p>
            <w:pPr>
              <w:pStyle w:val="Compact"/>
            </w:pPr>
            <w:r>
              <w:t xml:space="preserve">Seventy-nine finished feature items have no severity recorded, so risk-ordered validation and reporting cannot rank them by importance. The work backfills an appropriate severity for each item based on its content and impact. Risk-based ordering and reporting then work correctly across the full item set.</w:t>
            </w:r>
          </w:p>
        </w:tc>
      </w:tr>
      <w:tr>
        <w:tc>
          <w:tcPr/>
          <w:p>
            <w:pPr>
              <w:pStyle w:val="Compact"/>
            </w:pPr>
            <w:r>
              <w:t xml:space="preserve">HXL-001</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t xml:space="preserve">HelixLLM</w:t>
            </w:r>
            <w:r>
              <w:t xml:space="preserve"> </w:t>
            </w:r>
            <w:r>
              <w:rPr>
                <w:rStyle w:val="VerbatimChar"/>
              </w:rPr>
              <w:t xml:space="preserve">internal/agents/tools/analysis_test.go</w:t>
            </w:r>
            <w:r>
              <w:t xml:space="preserve"> </w:t>
            </w:r>
            <w:r>
              <w:t xml:space="preserve">hardcoded absolute path</w:t>
            </w:r>
          </w:p>
        </w:tc>
      </w:tr>
      <w:tr>
        <w:tc>
          <w:tcPr/>
          <w:p>
            <w:pPr>
              <w:pStyle w:val="Compact"/>
            </w:pPr>
            <w:r>
              <w:t xml:space="preserve">HXL-002</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t xml:space="preserve">HelixLLM</w:t>
            </w:r>
            <w:r>
              <w:t xml:space="preserve"> </w:t>
            </w:r>
            <w:r>
              <w:rPr>
                <w:rStyle w:val="VerbatimChar"/>
              </w:rPr>
              <w:t xml:space="preserve">internal/gateway/middleware</w:t>
            </w:r>
            <w:r>
              <w:t xml:space="preserve"> </w:t>
            </w:r>
            <w:r>
              <w:t xml:space="preserve">TOON</w:t>
            </w:r>
            <w:r>
              <w:t xml:space="preserve"> </w:t>
            </w:r>
            <w:r>
              <w:rPr>
                <w:rStyle w:val="VerbatimChar"/>
              </w:rPr>
              <w:t xml:space="preserve">WriteTOON</w:t>
            </w:r>
            <w:r>
              <w:t xml:space="preserve"> </w:t>
            </w:r>
            <w:r>
              <w:t xml:space="preserve">returns 500</w:t>
            </w:r>
          </w:p>
        </w:tc>
      </w:tr>
      <w:tr>
        <w:tc>
          <w:tcPr/>
          <w:p>
            <w:pPr>
              <w:pStyle w:val="Compact"/>
            </w:pPr>
            <w:r>
              <w:t xml:space="preserve">HXQ-001</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t xml:space="preserve">helix_qa intermittent TestPerformance flake (host-load-sensitive)</w:t>
            </w:r>
          </w:p>
        </w:tc>
      </w:tr>
      <w:tr>
        <w:tc>
          <w:tcPr/>
          <w:p>
            <w:pPr>
              <w:pStyle w:val="Compact"/>
            </w:pPr>
            <w:r>
              <w:t xml:space="preserve">HXV-002</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t xml:space="preserve">LLMsVerifier</w:t>
            </w:r>
            <w:r>
              <w:t xml:space="preserve"> </w:t>
            </w:r>
            <w:r>
              <w:rPr>
                <w:rStyle w:val="VerbatimChar"/>
              </w:rPr>
              <w:t xml:space="preserve">verification/</w:t>
            </w:r>
            <w:r>
              <w:t xml:space="preserve"> </w:t>
            </w:r>
            <w:r>
              <w:t xml:space="preserve">package 10 pre-existing test failures</w:t>
            </w:r>
          </w:p>
        </w:tc>
      </w:tr>
      <w:tr>
        <w:tc>
          <w:tcPr/>
          <w:p>
            <w:pPr>
              <w:pStyle w:val="Compact"/>
            </w:pPr>
            <w:r>
              <w:t xml:space="preserve">PAN-001</w:t>
            </w:r>
          </w:p>
        </w:tc>
        <w:tc>
          <w:tcPr/>
          <w:p>
            <w:pPr>
              <w:pStyle w:val="Compact"/>
            </w:pPr>
            <w:r>
              <w:t xml:space="preserve">Bug</w:t>
            </w:r>
          </w:p>
        </w:tc>
        <w:tc>
          <w:tcPr/>
          <w:p>
            <w:pPr>
              <w:pStyle w:val="Compact"/>
            </w:pPr>
            <w:r>
              <w:t xml:space="preserve">Fixed (→ Fixed.md)</w:t>
            </w:r>
          </w:p>
        </w:tc>
        <w:tc>
          <w:tcPr/>
          <w:p>
            <w:pPr>
              <w:pStyle w:val="Compact"/>
            </w:pPr>
            <w:r>
              <w:t xml:space="preserve">—</w:t>
            </w:r>
          </w:p>
        </w:tc>
        <w:tc>
          <w:tcPr/>
          <w:p>
            <w:pPr>
              <w:pStyle w:val="Compact"/>
            </w:pPr>
            <w:r>
              <w:t xml:space="preserve">panoptic</w:t>
            </w:r>
            <w:r>
              <w:t xml:space="preserve"> </w:t>
            </w:r>
            <w:r>
              <w:rPr>
                <w:rStyle w:val="VerbatimChar"/>
              </w:rPr>
              <w:t xml:space="preserve">appendJSONString</w:t>
            </w:r>
            <w:r>
              <w:t xml:space="preserve"> </w:t>
            </w:r>
            <w:r>
              <w:t xml:space="preserve">truncates multi-byte UTF-8 runes to bytes (</w:t>
            </w:r>
            <w:r>
              <w:rPr>
                <w:rStyle w:val="VerbatimChar"/>
              </w:rPr>
              <w:t xml:space="preserve">TestResult.MarshalJSON</w:t>
            </w:r>
            <w:r>
              <w:t xml:space="preserve"> </w:t>
            </w:r>
            <w:r>
              <w:t xml:space="preserve">corrupts non-ASCII)</w:t>
            </w:r>
          </w:p>
        </w:tc>
      </w:tr>
      <w:tr>
        <w:tc>
          <w:tcPr/>
          <w:p>
            <w:pPr>
              <w:pStyle w:val="Compact"/>
            </w:pPr>
            <w:r>
              <w:t xml:space="preserve">VEN-001</w:t>
            </w:r>
          </w:p>
        </w:tc>
        <w:tc>
          <w:tcPr/>
          <w:p>
            <w:pPr>
              <w:pStyle w:val="Compact"/>
            </w:pPr>
            <w:r>
              <w:t xml:space="preserve">Task</w:t>
            </w:r>
          </w:p>
        </w:tc>
        <w:tc>
          <w:tcPr/>
          <w:p>
            <w:pPr>
              <w:pStyle w:val="Compact"/>
            </w:pPr>
            <w:r>
              <w:t xml:space="preserve">Completed (→ Fixed.md)</w:t>
            </w:r>
          </w:p>
        </w:tc>
        <w:tc>
          <w:tcPr/>
          <w:p>
            <w:pPr>
              <w:pStyle w:val="Compact"/>
            </w:pPr>
            <w:r>
              <w:t xml:space="preserve">—</w:t>
            </w:r>
          </w:p>
        </w:tc>
        <w:tc>
          <w:tcPr/>
          <w:p>
            <w:pPr>
              <w:pStyle w:val="Compact"/>
            </w:pPr>
            <w:r>
              <w:t xml:space="preserve">VisionEngine</w:t>
            </w:r>
            <w:r>
              <w:t xml:space="preserve"> </w:t>
            </w:r>
            <w:r>
              <w:rPr>
                <w:rStyle w:val="VerbatimChar"/>
              </w:rPr>
              <w:t xml:space="preserve">helix-gitlab</w:t>
            </w:r>
            <w:r>
              <w:t xml:space="preserve"> </w:t>
            </w:r>
            <w:r>
              <w:t xml:space="preserve">remote repo missing (404) — CLOSED (→ Fixed.md)</w:t>
            </w:r>
          </w:p>
        </w:tc>
      </w:tr>
    </w:tbl>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2026-07-11T21:28:05Z</dcterms:created>
  <dcterms:modified xsi:type="dcterms:W3CDTF">2026-07-11T21:28:05Z</dcterms:modified>
</cp:coreProperties>
</file>

<file path=docProps/custom.xml><?xml version="1.0" encoding="utf-8"?>
<Properties xmlns="http://schemas.openxmlformats.org/officeDocument/2006/custom-properties" xmlns:vt="http://schemas.openxmlformats.org/officeDocument/2006/docPropsVTypes"/>
</file>