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helixcode-open-issues-tracker"/>
    <w:p>
      <w:pPr>
        <w:pStyle w:val="Heading1"/>
      </w:pPr>
      <w:r>
        <w:t xml:space="preserve">HelixCode — Open Issues Tracker</w:t>
      </w:r>
    </w:p>
    <w:p>
      <w:pPr>
        <w:pStyle w:val="BlockText"/>
      </w:pPr>
      <w:r>
        <w:t xml:space="preserve">Per Constitution §11.4.15 (Item-status tracking) + §11.4.16 (Item-type tracking) + §11.4.19 (Fixed-document column-alignment) + CONST-057 (Type-aware closure vocabulary) + CONST-058 (Reopened-source attribution).</w:t>
      </w:r>
    </w:p>
    <w:p>
      <w:pPr>
        <w:pStyle w:val="BlockText"/>
      </w:pPr>
      <w:r>
        <w:rPr>
          <w:b/>
          <w:bCs/>
        </w:rPr>
        <w:t xml:space="preserve">Authoritative resumption ledger</w:t>
      </w:r>
      <w:r>
        <w:t xml:space="preserve">:</w:t>
      </w:r>
      <w:r>
        <w:t xml:space="preserve"> </w:t>
      </w:r>
      <w:r>
        <w:rPr>
          <w:rStyle w:val="VerbatimChar"/>
        </w:rPr>
        <w:t xml:space="preserve">docs/CONTINUATION.md</w:t>
      </w:r>
      <w:r>
        <w:t xml:space="preserve"> </w:t>
      </w:r>
      <w:r>
        <w:t xml:space="preserve">(CONST-044). This file complements it with item-level granularity for currently-open work.</w:t>
      </w:r>
    </w:p>
    <w:p>
      <w:pPr>
        <w:pStyle w:val="BlockText"/>
      </w:pPr>
      <w:r>
        <w:rPr>
          <w:b/>
          <w:bCs/>
        </w:rPr>
        <w:t xml:space="preserve">Status vocabulary</w:t>
      </w:r>
      <w:r>
        <w:t xml:space="preserve"> </w:t>
      </w:r>
      <w:r>
        <w:t xml:space="preserve">(closed set):</w:t>
      </w:r>
      <w:r>
        <w:t xml:space="preserve"> </w:t>
      </w:r>
      <w:r>
        <w:rPr>
          <w:rStyle w:val="VerbatimChar"/>
        </w:rPr>
        <w:t xml:space="preserve">Queued</w:t>
      </w:r>
      <w:r>
        <w:t xml:space="preserve"> </w:t>
      </w:r>
      <w:r>
        <w:t xml:space="preserve">|</w:t>
      </w:r>
      <w:r>
        <w:t xml:space="preserve"> </w:t>
      </w:r>
      <w:r>
        <w:rPr>
          <w:rStyle w:val="VerbatimChar"/>
        </w:rPr>
        <w:t xml:space="preserve">In progress</w:t>
      </w:r>
      <w:r>
        <w:t xml:space="preserve"> </w:t>
      </w:r>
      <w:r>
        <w:t xml:space="preserve">|</w:t>
      </w:r>
      <w:r>
        <w:t xml:space="preserve"> </w:t>
      </w:r>
      <w:r>
        <w:rPr>
          <w:rStyle w:val="VerbatimChar"/>
        </w:rPr>
        <w:t xml:space="preserve">Ready for testing</w:t>
      </w:r>
      <w:r>
        <w:t xml:space="preserve"> </w:t>
      </w:r>
      <w:r>
        <w:t xml:space="preserve">|</w:t>
      </w:r>
      <w:r>
        <w:t xml:space="preserve"> </w:t>
      </w:r>
      <w:r>
        <w:rPr>
          <w:rStyle w:val="VerbatimChar"/>
        </w:rPr>
        <w:t xml:space="preserve">In testing</w:t>
      </w:r>
      <w:r>
        <w:t xml:space="preserve"> </w:t>
      </w:r>
      <w:r>
        <w:t xml:space="preserve">|</w:t>
      </w:r>
      <w:r>
        <w:t xml:space="preserve"> </w:t>
      </w:r>
      <w:r>
        <w:rPr>
          <w:rStyle w:val="VerbatimChar"/>
        </w:rPr>
        <w:t xml:space="preserve">Reopened</w:t>
      </w:r>
      <w:r>
        <w:t xml:space="preserve"> </w:t>
      </w:r>
      <w:r>
        <w:t xml:space="preserve">|</w:t>
      </w:r>
      <w:r>
        <w:t xml:space="preserve"> </w:t>
      </w:r>
      <w:r>
        <w:rPr>
          <w:rStyle w:val="VerbatimChar"/>
        </w:rPr>
        <w:t xml:space="preserve">Fixed/Implemented/Completed (→ Fixed.md)</w:t>
      </w:r>
    </w:p>
    <w:p>
      <w:pPr>
        <w:pStyle w:val="BlockText"/>
      </w:pPr>
      <w:r>
        <w:rPr>
          <w:b/>
          <w:bCs/>
        </w:rPr>
        <w:t xml:space="preserve">Type vocabulary</w:t>
      </w:r>
      <w:r>
        <w:t xml:space="preserve"> </w:t>
      </w:r>
      <w:r>
        <w:t xml:space="preserve">(closed set):</w:t>
      </w:r>
      <w:r>
        <w:t xml:space="preserve"> </w:t>
      </w:r>
      <w:r>
        <w:rPr>
          <w:rStyle w:val="VerbatimChar"/>
        </w:rPr>
        <w:t xml:space="preserve">Bug</w:t>
      </w:r>
      <w:r>
        <w:t xml:space="preserve"> </w:t>
      </w:r>
      <w:r>
        <w:t xml:space="preserve">|</w:t>
      </w:r>
      <w:r>
        <w:t xml:space="preserve"> </w:t>
      </w:r>
      <w:r>
        <w:rPr>
          <w:rStyle w:val="VerbatimChar"/>
        </w:rPr>
        <w:t xml:space="preserve">Feature</w:t>
      </w:r>
      <w:r>
        <w:t xml:space="preserve"> </w:t>
      </w:r>
      <w:r>
        <w:t xml:space="preserve">|</w:t>
      </w:r>
      <w:r>
        <w:t xml:space="preserve"> </w:t>
      </w:r>
      <w:r>
        <w:rPr>
          <w:rStyle w:val="VerbatimChar"/>
        </w:rPr>
        <w:t xml:space="preserve">Task</w:t>
      </w:r>
    </w:p>
    <w:p>
      <w:r>
        <w:pict>
          <v:rect style="width:0;height:1.5pt" o:hralign="center" o:hrstd="t" o:hr="t"/>
        </w:pict>
      </w:r>
    </w:p>
    <w:bookmarkStart w:id="10" w:name="prefix-convention"/>
    <w:p>
      <w:pPr>
        <w:pStyle w:val="Heading2"/>
      </w:pPr>
      <w:r>
        <w:t xml:space="preserve">Prefix convention</w:t>
      </w:r>
    </w:p>
    <w:p>
      <w:pPr>
        <w:pStyle w:val="FirstParagraph"/>
      </w:pPr>
      <w:r>
        <w:t xml:space="preserve">Round 189 (2026-05-19) introduced per-project / per-submodule ID prefixes replacing the legacy</w:t>
      </w:r>
      <w:r>
        <w:t xml:space="preserve"> </w:t>
      </w:r>
      <w:r>
        <w:rPr>
          <w:rStyle w:val="VerbatimChar"/>
        </w:rPr>
        <w:t xml:space="preserve">ISSUE-NNN</w:t>
      </w:r>
      <w:r>
        <w:t xml:space="preserve"> </w:t>
      </w:r>
      <w:r>
        <w:t xml:space="preserve">flat namespace. New items MUST use the prefix matching their scope; cross-cutting items affecting two or more submodules (or any meta-repo concern) live under</w:t>
      </w:r>
      <w:r>
        <w:t xml:space="preserve"> </w:t>
      </w:r>
      <w:r>
        <w:rPr>
          <w:rStyle w:val="VerbatimChar"/>
        </w:rPr>
        <w:t xml:space="preserve">HXC</w:t>
      </w:r>
      <w:r>
        <w:t xml:space="preserve">. Numeric portion is per-prefix (each prefix starts at</w:t>
      </w:r>
      <w:r>
        <w:t xml:space="preserve"> </w:t>
      </w:r>
      <w:r>
        <w:rPr>
          <w:rStyle w:val="VerbatimChar"/>
        </w:rPr>
        <w:t xml:space="preserve">001</w:t>
      </w:r>
      <w:r>
        <w:t xml:space="preserve">). Legacy</w:t>
      </w:r>
      <w:r>
        <w:t xml:space="preserve"> </w:t>
      </w:r>
      <w:r>
        <w:rPr>
          <w:rStyle w:val="VerbatimChar"/>
        </w:rPr>
        <w:t xml:space="preserve">ISSUE-NNN</w:t>
      </w:r>
      <w:r>
        <w:t xml:space="preserve"> </w:t>
      </w:r>
      <w:r>
        <w:t xml:space="preserve">IDs renamed forward-only per CONST-043; historical close-out narratives in</w:t>
      </w:r>
      <w:r>
        <w:t xml:space="preserve"> </w:t>
      </w:r>
      <w:r>
        <w:rPr>
          <w:rStyle w:val="VerbatimChar"/>
        </w:rPr>
        <w:t xml:space="preserve">docs/CONTINUATION.md</w:t>
      </w:r>
      <w:r>
        <w:t xml:space="preserve"> </w:t>
      </w:r>
      <w:r>
        <w:t xml:space="preserve">preserve original IDs verbatim, and</w:t>
      </w:r>
      <w:r>
        <w:t xml:space="preserve"> </w:t>
      </w:r>
      <w:r>
        <w:rPr>
          <w:rStyle w:val="VerbatimChar"/>
        </w:rPr>
        <w:t xml:space="preserve">docs/Fixed.md</w:t>
      </w:r>
      <w:r>
        <w:t xml:space="preserve"> </w:t>
      </w:r>
      <w:r>
        <w:t xml:space="preserve">annotates each closure with</w:t>
      </w:r>
      <w:r>
        <w:t xml:space="preserve"> </w:t>
      </w:r>
      <w:r>
        <w:rPr>
          <w:rStyle w:val="VerbatimChar"/>
        </w:rPr>
        <w:t xml:space="preserve">(ex-ISSUE-NNN)</w:t>
      </w:r>
      <w:r>
        <w:t xml:space="preserve"> </w:t>
      </w:r>
      <w:r>
        <w:t xml:space="preserve">for git-history traceability.</w:t>
      </w:r>
    </w:p>
    <w:tbl>
      <w:tblPr>
        <w:tblStyle w:val="Table"/>
        <w:tblW w:type="pct" w:w="5000"/>
        <w:tblLayout w:type="fixed"/>
        <w:tblLook w:firstRow="1" w:lastRow="0" w:firstColumn="0" w:lastColumn="0" w:noHBand="0" w:noVBand="0" w:val="0020"/>
      </w:tblPr>
      <w:tblGrid>
        <w:gridCol w:w="2754"/>
        <w:gridCol w:w="2410"/>
        <w:gridCol w:w="2754"/>
      </w:tblGrid>
      <w:tr>
        <w:trPr>
          <w:tblHeader w:val="on"/>
        </w:trPr>
        <w:tc>
          <w:tcPr/>
          <w:p>
            <w:pPr>
              <w:pStyle w:val="Compact"/>
            </w:pPr>
            <w:r>
              <w:t xml:space="preserve">Prefix</w:t>
            </w:r>
          </w:p>
        </w:tc>
        <w:tc>
          <w:tcPr/>
          <w:p>
            <w:pPr>
              <w:pStyle w:val="Compact"/>
            </w:pPr>
            <w:r>
              <w:t xml:space="preserve">Scope</w:t>
            </w:r>
          </w:p>
        </w:tc>
        <w:tc>
          <w:tcPr/>
          <w:p>
            <w:pPr>
              <w:pStyle w:val="Compact"/>
            </w:pPr>
            <w:r>
              <w:t xml:space="preserve">Source</w:t>
            </w:r>
          </w:p>
        </w:tc>
      </w:tr>
      <w:tr>
        <w:tc>
          <w:tcPr/>
          <w:p>
            <w:pPr>
              <w:pStyle w:val="Compact"/>
            </w:pPr>
            <w:r>
              <w:t xml:space="preserve">HXC</w:t>
            </w:r>
          </w:p>
        </w:tc>
        <w:tc>
          <w:tcPr/>
          <w:p>
            <w:pPr>
              <w:pStyle w:val="Compact"/>
            </w:pPr>
            <w:r>
              <w:t xml:space="preserve">HelixCode root project (project-wide, multi-submodule, governance, infrastructure)</w:t>
            </w:r>
          </w:p>
        </w:tc>
        <w:tc>
          <w:tcPr/>
          <w:p>
            <w:pPr>
              <w:pStyle w:val="Compact"/>
            </w:pPr>
            <w:r>
              <w:t xml:space="preserve">this repo</w:t>
            </w:r>
          </w:p>
        </w:tc>
      </w:tr>
      <w:tr>
        <w:tc>
          <w:tcPr/>
          <w:p>
            <w:pPr>
              <w:pStyle w:val="Compact"/>
            </w:pPr>
            <w:r>
              <w:t xml:space="preserve">HXA</w:t>
            </w:r>
          </w:p>
        </w:tc>
        <w:tc>
          <w:tcPr/>
          <w:p>
            <w:pPr>
              <w:pStyle w:val="Compact"/>
            </w:pPr>
            <w:r>
              <w:t xml:space="preserve">HelixAgent submodule</w:t>
            </w:r>
          </w:p>
        </w:tc>
        <w:tc>
          <w:tcPr/>
          <w:p>
            <w:pPr>
              <w:pStyle w:val="Compact"/>
            </w:pPr>
            <w:r>
              <w:rPr>
                <w:rStyle w:val="VerbatimChar"/>
              </w:rPr>
              <w:t xml:space="preserve">submodules/helix_agent</w:t>
            </w:r>
            <w:r>
              <w:t xml:space="preserve"> </w:t>
            </w:r>
            <w:r>
              <w:t xml:space="preserve">(when present) /</w:t>
            </w:r>
            <w:r>
              <w:t xml:space="preserve"> </w:t>
            </w:r>
            <w:r>
              <w:rPr>
                <w:rStyle w:val="VerbatimChar"/>
              </w:rPr>
              <w:t xml:space="preserve">helix_agent/</w:t>
            </w:r>
            <w:r>
              <w:t xml:space="preserve"> </w:t>
            </w:r>
            <w:r>
              <w:t xml:space="preserve">tree</w:t>
            </w:r>
          </w:p>
        </w:tc>
      </w:tr>
      <w:tr>
        <w:tc>
          <w:tcPr/>
          <w:p>
            <w:pPr>
              <w:pStyle w:val="Compact"/>
            </w:pPr>
            <w:r>
              <w:t xml:space="preserve">HXM</w:t>
            </w:r>
          </w:p>
        </w:tc>
        <w:tc>
          <w:tcPr/>
          <w:p>
            <w:pPr>
              <w:pStyle w:val="Compact"/>
            </w:pPr>
            <w:r>
              <w:t xml:space="preserve">HelixMemory submodule</w:t>
            </w:r>
          </w:p>
        </w:tc>
        <w:tc>
          <w:tcPr/>
          <w:p>
            <w:pPr>
              <w:pStyle w:val="Compact"/>
            </w:pPr>
            <w:r>
              <w:rPr>
                <w:rStyle w:val="VerbatimChar"/>
              </w:rPr>
              <w:t xml:space="preserve">submodules/helix_memory</w:t>
            </w:r>
          </w:p>
        </w:tc>
      </w:tr>
      <w:tr>
        <w:tc>
          <w:tcPr/>
          <w:p>
            <w:pPr>
              <w:pStyle w:val="Compact"/>
            </w:pPr>
            <w:r>
              <w:t xml:space="preserve">HXL</w:t>
            </w:r>
          </w:p>
        </w:tc>
        <w:tc>
          <w:tcPr/>
          <w:p>
            <w:pPr>
              <w:pStyle w:val="Compact"/>
            </w:pPr>
            <w:r>
              <w:t xml:space="preserve">HelixLLM submodule</w:t>
            </w:r>
          </w:p>
        </w:tc>
        <w:tc>
          <w:tcPr/>
          <w:p>
            <w:pPr>
              <w:pStyle w:val="Compact"/>
            </w:pPr>
            <w:r>
              <w:rPr>
                <w:rStyle w:val="VerbatimChar"/>
              </w:rPr>
              <w:t xml:space="preserve">submodules/helix_llm</w:t>
            </w:r>
          </w:p>
        </w:tc>
      </w:tr>
      <w:tr>
        <w:tc>
          <w:tcPr/>
          <w:p>
            <w:pPr>
              <w:pStyle w:val="Compact"/>
            </w:pPr>
            <w:r>
              <w:t xml:space="preserve">HXQ</w:t>
            </w:r>
          </w:p>
        </w:tc>
        <w:tc>
          <w:tcPr/>
          <w:p>
            <w:pPr>
              <w:pStyle w:val="Compact"/>
            </w:pPr>
            <w:r>
              <w:t xml:space="preserve">HelixQA submodule</w:t>
            </w:r>
          </w:p>
        </w:tc>
        <w:tc>
          <w:tcPr/>
          <w:p>
            <w:pPr>
              <w:pStyle w:val="Compact"/>
            </w:pPr>
            <w:r>
              <w:rPr>
                <w:rStyle w:val="VerbatimChar"/>
              </w:rPr>
              <w:t xml:space="preserve">submodules/helix_qa</w:t>
            </w:r>
            <w:r>
              <w:t xml:space="preserve"> </w:t>
            </w:r>
            <w:r>
              <w:t xml:space="preserve">(</w:t>
            </w:r>
            <w:r>
              <w:rPr>
                <w:rStyle w:val="VerbatimChar"/>
              </w:rPr>
              <w:t xml:space="preserve">helix_qa/</w:t>
            </w:r>
            <w:r>
              <w:t xml:space="preserve">)</w:t>
            </w:r>
          </w:p>
        </w:tc>
      </w:tr>
      <w:tr>
        <w:tc>
          <w:tcPr/>
          <w:p>
            <w:pPr>
              <w:pStyle w:val="Compact"/>
            </w:pPr>
            <w:r>
              <w:t xml:space="preserve">HXS</w:t>
            </w:r>
          </w:p>
        </w:tc>
        <w:tc>
          <w:tcPr/>
          <w:p>
            <w:pPr>
              <w:pStyle w:val="Compact"/>
            </w:pPr>
            <w:r>
              <w:t xml:space="preserve">HelixSpecifier submodule</w:t>
            </w:r>
          </w:p>
        </w:tc>
        <w:tc>
          <w:tcPr/>
          <w:p>
            <w:pPr>
              <w:pStyle w:val="Compact"/>
            </w:pPr>
            <w:r>
              <w:rPr>
                <w:rStyle w:val="VerbatimChar"/>
              </w:rPr>
              <w:t xml:space="preserve">submodules/helix_specifier</w:t>
            </w:r>
          </w:p>
        </w:tc>
      </w:tr>
      <w:tr>
        <w:tc>
          <w:tcPr/>
          <w:p>
            <w:pPr>
              <w:pStyle w:val="Compact"/>
            </w:pPr>
            <w:r>
              <w:t xml:space="preserve">HXO</w:t>
            </w:r>
          </w:p>
        </w:tc>
        <w:tc>
          <w:tcPr/>
          <w:p>
            <w:pPr>
              <w:pStyle w:val="Compact"/>
            </w:pPr>
            <w:r>
              <w:t xml:space="preserve">HelixOrchestrator (= LLMOrchestrator) submodule</w:t>
            </w:r>
          </w:p>
        </w:tc>
        <w:tc>
          <w:tcPr/>
          <w:p>
            <w:pPr>
              <w:pStyle w:val="Compact"/>
            </w:pPr>
            <w:r>
              <w:rPr>
                <w:rStyle w:val="VerbatimChar"/>
              </w:rPr>
              <w:t xml:space="preserve">submodules/llm_orchestrator</w:t>
            </w:r>
          </w:p>
        </w:tc>
      </w:tr>
      <w:tr>
        <w:tc>
          <w:tcPr/>
          <w:p>
            <w:pPr>
              <w:pStyle w:val="Compact"/>
            </w:pPr>
            <w:r>
              <w:t xml:space="preserve">HXV</w:t>
            </w:r>
          </w:p>
        </w:tc>
        <w:tc>
          <w:tcPr/>
          <w:p>
            <w:pPr>
              <w:pStyle w:val="Compact"/>
            </w:pPr>
            <w:r>
              <w:t xml:space="preserve">HelixVerifier (= LLMsVerifier) submodule</w:t>
            </w:r>
          </w:p>
        </w:tc>
        <w:tc>
          <w:tcPr/>
          <w:p>
            <w:pPr>
              <w:pStyle w:val="Compact"/>
            </w:pPr>
            <w:r>
              <w:rPr>
                <w:rStyle w:val="VerbatimChar"/>
              </w:rPr>
              <w:t xml:space="preserve">submodules/llms_verifier</w:t>
            </w:r>
          </w:p>
        </w:tc>
      </w:tr>
      <w:tr>
        <w:tc>
          <w:tcPr/>
          <w:p>
            <w:pPr>
              <w:pStyle w:val="Compact"/>
            </w:pPr>
            <w:r>
              <w:t xml:space="preserve">HXD</w:t>
            </w:r>
          </w:p>
        </w:tc>
        <w:tc>
          <w:tcPr/>
          <w:p>
            <w:pPr>
              <w:pStyle w:val="Compact"/>
            </w:pPr>
            <w:r>
              <w:t xml:space="preserve">HelixDocProcessor (= DocProcessor) submodule</w:t>
            </w:r>
          </w:p>
        </w:tc>
        <w:tc>
          <w:tcPr/>
          <w:p>
            <w:pPr>
              <w:pStyle w:val="Compact"/>
            </w:pPr>
            <w:r>
              <w:rPr>
                <w:rStyle w:val="VerbatimChar"/>
              </w:rPr>
              <w:t xml:space="preserve">submodules/doc_processor</w:t>
            </w:r>
          </w:p>
        </w:tc>
      </w:tr>
      <w:tr>
        <w:tc>
          <w:tcPr/>
          <w:p>
            <w:pPr>
              <w:pStyle w:val="Compact"/>
            </w:pPr>
            <w:r>
              <w:t xml:space="preserve">HXI</w:t>
            </w:r>
          </w:p>
        </w:tc>
        <w:tc>
          <w:tcPr/>
          <w:p>
            <w:pPr>
              <w:pStyle w:val="Compact"/>
            </w:pPr>
            <w:r>
              <w:t xml:space="preserve">HelixI18n (when added)</w:t>
            </w:r>
          </w:p>
        </w:tc>
        <w:tc>
          <w:tcPr/>
          <w:p>
            <w:pPr>
              <w:pStyle w:val="Compact"/>
            </w:pPr>
            <w:r>
              <w:t xml:space="preserve">tba</w:t>
            </w:r>
          </w:p>
        </w:tc>
      </w:tr>
      <w:tr>
        <w:tc>
          <w:tcPr/>
          <w:p>
            <w:pPr>
              <w:pStyle w:val="Compact"/>
            </w:pPr>
            <w:r>
              <w:t xml:space="preserve">PLN</w:t>
            </w:r>
          </w:p>
        </w:tc>
        <w:tc>
          <w:tcPr/>
          <w:p>
            <w:pPr>
              <w:pStyle w:val="Compact"/>
            </w:pPr>
            <w:r>
              <w:t xml:space="preserve">Planning submodule (vasic-digital)</w:t>
            </w:r>
          </w:p>
        </w:tc>
        <w:tc>
          <w:tcPr/>
          <w:p>
            <w:pPr>
              <w:pStyle w:val="Compact"/>
            </w:pPr>
            <w:r>
              <w:rPr>
                <w:rStyle w:val="VerbatimChar"/>
              </w:rPr>
              <w:t xml:space="preserve">submodules/planning</w:t>
            </w:r>
          </w:p>
        </w:tc>
      </w:tr>
      <w:tr>
        <w:tc>
          <w:tcPr/>
          <w:p>
            <w:pPr>
              <w:pStyle w:val="Compact"/>
            </w:pPr>
            <w:r>
              <w:t xml:space="preserve">VEN</w:t>
            </w:r>
          </w:p>
        </w:tc>
        <w:tc>
          <w:tcPr/>
          <w:p>
            <w:pPr>
              <w:pStyle w:val="Compact"/>
            </w:pPr>
            <w:r>
              <w:t xml:space="preserve">VisionEngine submodule (HelixDevelopment)</w:t>
            </w:r>
          </w:p>
        </w:tc>
        <w:tc>
          <w:tcPr/>
          <w:p>
            <w:pPr>
              <w:pStyle w:val="Compact"/>
            </w:pPr>
            <w:r>
              <w:rPr>
                <w:rStyle w:val="VerbatimChar"/>
              </w:rPr>
              <w:t xml:space="preserve">submodules/vision_engine</w:t>
            </w:r>
          </w:p>
        </w:tc>
      </w:tr>
      <w:tr>
        <w:tc>
          <w:tcPr/>
          <w:p>
            <w:pPr>
              <w:pStyle w:val="Compact"/>
            </w:pPr>
            <w:r>
              <w:t xml:space="preserve">SLF</w:t>
            </w:r>
          </w:p>
        </w:tc>
        <w:tc>
          <w:tcPr/>
          <w:p>
            <w:pPr>
              <w:pStyle w:val="Compact"/>
            </w:pPr>
            <w:r>
              <w:t xml:space="preserve">SelfImprove submodule (vasic-digital)</w:t>
            </w:r>
          </w:p>
        </w:tc>
        <w:tc>
          <w:tcPr/>
          <w:p>
            <w:pPr>
              <w:pStyle w:val="Compact"/>
            </w:pPr>
            <w:r>
              <w:rPr>
                <w:rStyle w:val="VerbatimChar"/>
              </w:rPr>
              <w:t xml:space="preserve">submodules/self_improve</w:t>
            </w:r>
          </w:p>
        </w:tc>
      </w:tr>
      <w:tr>
        <w:tc>
          <w:tcPr/>
          <w:p>
            <w:pPr>
              <w:pStyle w:val="Compact"/>
            </w:pPr>
            <w:r>
              <w:t xml:space="preserve">STO</w:t>
            </w:r>
          </w:p>
        </w:tc>
        <w:tc>
          <w:tcPr/>
          <w:p>
            <w:pPr>
              <w:pStyle w:val="Compact"/>
            </w:pPr>
            <w:r>
              <w:t xml:space="preserve">Storage submodule (vasic-digital)</w:t>
            </w:r>
          </w:p>
        </w:tc>
        <w:tc>
          <w:tcPr/>
          <w:p>
            <w:pPr>
              <w:pStyle w:val="Compact"/>
            </w:pPr>
            <w:r>
              <w:rPr>
                <w:rStyle w:val="VerbatimChar"/>
              </w:rPr>
              <w:t xml:space="preserve">submodules/storage</w:t>
            </w:r>
          </w:p>
        </w:tc>
      </w:tr>
      <w:tr>
        <w:tc>
          <w:tcPr/>
          <w:p>
            <w:pPr>
              <w:pStyle w:val="Compact"/>
            </w:pPr>
            <w:r>
              <w:t xml:space="preserve">OPS</w:t>
            </w:r>
          </w:p>
        </w:tc>
        <w:tc>
          <w:tcPr/>
          <w:p>
            <w:pPr>
              <w:pStyle w:val="Compact"/>
            </w:pPr>
            <w:r>
              <w:t xml:space="preserve">LLMOps submodule (vasic-digital)</w:t>
            </w:r>
          </w:p>
        </w:tc>
        <w:tc>
          <w:tcPr/>
          <w:p>
            <w:pPr>
              <w:pStyle w:val="Compact"/>
            </w:pPr>
            <w:r>
              <w:rPr>
                <w:rStyle w:val="VerbatimChar"/>
              </w:rPr>
              <w:t xml:space="preserve">submodules/llm_ops</w:t>
            </w:r>
          </w:p>
        </w:tc>
      </w:tr>
      <w:tr>
        <w:tc>
          <w:tcPr/>
          <w:p>
            <w:pPr>
              <w:pStyle w:val="Compact"/>
            </w:pPr>
            <w:r>
              <w:t xml:space="preserve">VDB</w:t>
            </w:r>
          </w:p>
        </w:tc>
        <w:tc>
          <w:tcPr/>
          <w:p>
            <w:pPr>
              <w:pStyle w:val="Compact"/>
            </w:pPr>
            <w:r>
              <w:t xml:space="preserve">VectorDB submodule (vasic-digital)</w:t>
            </w:r>
          </w:p>
        </w:tc>
        <w:tc>
          <w:tcPr/>
          <w:p>
            <w:pPr>
              <w:pStyle w:val="Compact"/>
            </w:pPr>
            <w:r>
              <w:rPr>
                <w:rStyle w:val="VerbatimChar"/>
              </w:rPr>
              <w:t xml:space="preserve">submodules/vector_db</w:t>
            </w:r>
          </w:p>
        </w:tc>
      </w:tr>
      <w:tr>
        <w:tc>
          <w:tcPr/>
          <w:p>
            <w:pPr>
              <w:pStyle w:val="Compact"/>
            </w:pPr>
            <w:r>
              <w:t xml:space="preserve">OBS</w:t>
            </w:r>
          </w:p>
        </w:tc>
        <w:tc>
          <w:tcPr/>
          <w:p>
            <w:pPr>
              <w:pStyle w:val="Compact"/>
            </w:pPr>
            <w:r>
              <w:t xml:space="preserve">Observability submodule (vasic-digital)</w:t>
            </w:r>
          </w:p>
        </w:tc>
        <w:tc>
          <w:tcPr/>
          <w:p>
            <w:pPr>
              <w:pStyle w:val="Compact"/>
            </w:pPr>
            <w:r>
              <w:rPr>
                <w:rStyle w:val="VerbatimChar"/>
              </w:rPr>
              <w:t xml:space="preserve">submodules/observability</w:t>
            </w:r>
          </w:p>
        </w:tc>
      </w:tr>
      <w:tr>
        <w:tc>
          <w:tcPr/>
          <w:p>
            <w:pPr>
              <w:pStyle w:val="Compact"/>
            </w:pPr>
            <w:r>
              <w:t xml:space="preserve">MCP</w:t>
            </w:r>
          </w:p>
        </w:tc>
        <w:tc>
          <w:tcPr/>
          <w:p>
            <w:pPr>
              <w:pStyle w:val="Compact"/>
            </w:pPr>
            <w:r>
              <w:t xml:space="preserve">MCP_Module submodule (vasic-digital)</w:t>
            </w:r>
          </w:p>
        </w:tc>
        <w:tc>
          <w:tcPr/>
          <w:p>
            <w:pPr>
              <w:pStyle w:val="Compact"/>
            </w:pPr>
            <w:r>
              <w:rPr>
                <w:rStyle w:val="VerbatimChar"/>
              </w:rPr>
              <w:t xml:space="preserve">submodules/mcp_module</w:t>
            </w:r>
          </w:p>
        </w:tc>
      </w:tr>
      <w:tr>
        <w:tc>
          <w:tcPr/>
          <w:p>
            <w:pPr>
              <w:pStyle w:val="Compact"/>
            </w:pPr>
            <w:r>
              <w:t xml:space="preserve">MSG</w:t>
            </w:r>
          </w:p>
        </w:tc>
        <w:tc>
          <w:tcPr/>
          <w:p>
            <w:pPr>
              <w:pStyle w:val="Compact"/>
            </w:pPr>
            <w:r>
              <w:t xml:space="preserve">Messaging submodule (vasic-digital)</w:t>
            </w:r>
          </w:p>
        </w:tc>
        <w:tc>
          <w:tcPr/>
          <w:p>
            <w:pPr>
              <w:pStyle w:val="Compact"/>
            </w:pPr>
            <w:r>
              <w:rPr>
                <w:rStyle w:val="VerbatimChar"/>
              </w:rPr>
              <w:t xml:space="preserve">submodules/messaging</w:t>
            </w:r>
          </w:p>
        </w:tc>
      </w:tr>
      <w:tr>
        <w:tc>
          <w:tcPr/>
          <w:p>
            <w:pPr>
              <w:pStyle w:val="Compact"/>
            </w:pPr>
            <w:r>
              <w:t xml:space="preserve">MDW</w:t>
            </w:r>
          </w:p>
        </w:tc>
        <w:tc>
          <w:tcPr/>
          <w:p>
            <w:pPr>
              <w:pStyle w:val="Compact"/>
            </w:pPr>
            <w:r>
              <w:t xml:space="preserve">Middleware submodule (vasic-digital)</w:t>
            </w:r>
          </w:p>
        </w:tc>
        <w:tc>
          <w:tcPr/>
          <w:p>
            <w:pPr>
              <w:pStyle w:val="Compact"/>
            </w:pPr>
            <w:r>
              <w:rPr>
                <w:rStyle w:val="VerbatimChar"/>
              </w:rPr>
              <w:t xml:space="preserve">submodules/middleware</w:t>
            </w:r>
          </w:p>
        </w:tc>
      </w:tr>
      <w:tr>
        <w:tc>
          <w:tcPr/>
          <w:p>
            <w:pPr>
              <w:pStyle w:val="Compact"/>
            </w:pPr>
            <w:r>
              <w:t xml:space="preserve">PLG</w:t>
            </w:r>
          </w:p>
        </w:tc>
        <w:tc>
          <w:tcPr/>
          <w:p>
            <w:pPr>
              <w:pStyle w:val="Compact"/>
            </w:pPr>
            <w:r>
              <w:t xml:space="preserve">Plugins submodule (vasic-digital)</w:t>
            </w:r>
          </w:p>
        </w:tc>
        <w:tc>
          <w:tcPr/>
          <w:p>
            <w:pPr>
              <w:pStyle w:val="Compact"/>
            </w:pPr>
            <w:r>
              <w:rPr>
                <w:rStyle w:val="VerbatimChar"/>
              </w:rPr>
              <w:t xml:space="preserve">submodules/plugins</w:t>
            </w:r>
          </w:p>
        </w:tc>
      </w:tr>
      <w:tr>
        <w:tc>
          <w:tcPr/>
          <w:p>
            <w:pPr>
              <w:pStyle w:val="Compact"/>
            </w:pPr>
            <w:r>
              <w:t xml:space="preserve">STR</w:t>
            </w:r>
          </w:p>
        </w:tc>
        <w:tc>
          <w:tcPr/>
          <w:p>
            <w:pPr>
              <w:pStyle w:val="Compact"/>
            </w:pPr>
            <w:r>
              <w:t xml:space="preserve">Streaming submodule (vasic-digital)</w:t>
            </w:r>
          </w:p>
        </w:tc>
        <w:tc>
          <w:tcPr/>
          <w:p>
            <w:pPr>
              <w:pStyle w:val="Compact"/>
            </w:pPr>
            <w:r>
              <w:rPr>
                <w:rStyle w:val="VerbatimChar"/>
              </w:rPr>
              <w:t xml:space="preserve">submodules/streaming</w:t>
            </w:r>
          </w:p>
        </w:tc>
      </w:tr>
      <w:tr>
        <w:tc>
          <w:tcPr/>
          <w:p>
            <w:pPr>
              <w:pStyle w:val="Compact"/>
            </w:pPr>
            <w:r>
              <w:t xml:space="preserve">WAT</w:t>
            </w:r>
          </w:p>
        </w:tc>
        <w:tc>
          <w:tcPr/>
          <w:p>
            <w:pPr>
              <w:pStyle w:val="Compact"/>
            </w:pPr>
            <w:r>
              <w:t xml:space="preserve">Watcher submodule (vasic-digital)</w:t>
            </w:r>
          </w:p>
        </w:tc>
        <w:tc>
          <w:tcPr/>
          <w:p>
            <w:pPr>
              <w:pStyle w:val="Compact"/>
            </w:pPr>
            <w:r>
              <w:rPr>
                <w:rStyle w:val="VerbatimChar"/>
              </w:rPr>
              <w:t xml:space="preserve">submodules/watcher</w:t>
            </w:r>
          </w:p>
        </w:tc>
      </w:tr>
      <w:tr>
        <w:tc>
          <w:tcPr/>
          <w:p>
            <w:pPr>
              <w:pStyle w:val="Compact"/>
            </w:pPr>
            <w:r>
              <w:t xml:space="preserve">CNV</w:t>
            </w:r>
          </w:p>
        </w:tc>
        <w:tc>
          <w:tcPr/>
          <w:p>
            <w:pPr>
              <w:pStyle w:val="Compact"/>
            </w:pPr>
            <w:r>
              <w:t xml:space="preserve">conversation submodule (vasic-digital)</w:t>
            </w:r>
          </w:p>
        </w:tc>
        <w:tc>
          <w:tcPr/>
          <w:p>
            <w:pPr>
              <w:pStyle w:val="Compact"/>
            </w:pPr>
            <w:r>
              <w:rPr>
                <w:rStyle w:val="VerbatimChar"/>
              </w:rPr>
              <w:t xml:space="preserve">submodules/conversation</w:t>
            </w:r>
          </w:p>
        </w:tc>
      </w:tr>
      <w:tr>
        <w:tc>
          <w:tcPr/>
          <w:p>
            <w:pPr>
              <w:pStyle w:val="Compact"/>
            </w:pPr>
            <w:r>
              <w:t xml:space="preserve">AUT</w:t>
            </w:r>
          </w:p>
        </w:tc>
        <w:tc>
          <w:tcPr/>
          <w:p>
            <w:pPr>
              <w:pStyle w:val="Compact"/>
            </w:pPr>
            <w:r>
              <w:t xml:space="preserve">Auth submodule (vasic-digital)</w:t>
            </w:r>
          </w:p>
        </w:tc>
        <w:tc>
          <w:tcPr/>
          <w:p>
            <w:pPr>
              <w:pStyle w:val="Compact"/>
            </w:pPr>
            <w:r>
              <w:rPr>
                <w:rStyle w:val="VerbatimChar"/>
              </w:rPr>
              <w:t xml:space="preserve">submodules/auth</w:t>
            </w:r>
          </w:p>
        </w:tc>
      </w:tr>
      <w:tr>
        <w:tc>
          <w:tcPr/>
          <w:p>
            <w:pPr>
              <w:pStyle w:val="Compact"/>
            </w:pPr>
            <w:r>
              <w:t xml:space="preserve">LZY</w:t>
            </w:r>
          </w:p>
        </w:tc>
        <w:tc>
          <w:tcPr/>
          <w:p>
            <w:pPr>
              <w:pStyle w:val="Compact"/>
            </w:pPr>
            <w:r>
              <w:t xml:space="preserve">Lazy submodule (vasic-digital)</w:t>
            </w:r>
          </w:p>
        </w:tc>
        <w:tc>
          <w:tcPr/>
          <w:p>
            <w:pPr>
              <w:pStyle w:val="Compact"/>
            </w:pPr>
            <w:r>
              <w:rPr>
                <w:rStyle w:val="VerbatimChar"/>
              </w:rPr>
              <w:t xml:space="preserve">submodules/lazy</w:t>
            </w:r>
          </w:p>
        </w:tc>
      </w:tr>
      <w:tr>
        <w:tc>
          <w:tcPr/>
          <w:p>
            <w:pPr>
              <w:pStyle w:val="Compact"/>
            </w:pPr>
            <w:r>
              <w:t xml:space="preserve">ATP</w:t>
            </w:r>
          </w:p>
        </w:tc>
        <w:tc>
          <w:tcPr/>
          <w:p>
            <w:pPr>
              <w:pStyle w:val="Compact"/>
            </w:pPr>
            <w:r>
              <w:t xml:space="preserve">AutoTemp submodule (vasic-digital)</w:t>
            </w:r>
          </w:p>
        </w:tc>
        <w:tc>
          <w:tcPr/>
          <w:p>
            <w:pPr>
              <w:pStyle w:val="Compact"/>
            </w:pPr>
            <w:r>
              <w:rPr>
                <w:rStyle w:val="VerbatimChar"/>
              </w:rPr>
              <w:t xml:space="preserve">submodules/auto_temp</w:t>
            </w:r>
          </w:p>
        </w:tc>
      </w:tr>
      <w:tr>
        <w:tc>
          <w:tcPr/>
          <w:p>
            <w:pPr>
              <w:pStyle w:val="Compact"/>
            </w:pPr>
            <w:r>
              <w:t xml:space="preserve">PLI</w:t>
            </w:r>
          </w:p>
        </w:tc>
        <w:tc>
          <w:tcPr/>
          <w:p>
            <w:pPr>
              <w:pStyle w:val="Compact"/>
            </w:pPr>
            <w:r>
              <w:t xml:space="preserve">PliniusCommon submodule (vasic-digital)</w:t>
            </w:r>
          </w:p>
        </w:tc>
        <w:tc>
          <w:tcPr/>
          <w:p>
            <w:pPr>
              <w:pStyle w:val="Compact"/>
            </w:pPr>
            <w:r>
              <w:rPr>
                <w:rStyle w:val="VerbatimChar"/>
              </w:rPr>
              <w:t xml:space="preserve">submodules/plinius_common</w:t>
            </w:r>
          </w:p>
        </w:tc>
      </w:tr>
      <w:tr>
        <w:tc>
          <w:tcPr/>
          <w:p>
            <w:pPr>
              <w:pStyle w:val="Compact"/>
            </w:pPr>
            <w:r>
              <w:t xml:space="preserve">CHL</w:t>
            </w:r>
          </w:p>
        </w:tc>
        <w:tc>
          <w:tcPr/>
          <w:p>
            <w:pPr>
              <w:pStyle w:val="Compact"/>
            </w:pPr>
            <w:r>
              <w:t xml:space="preserve">challenges submodule (vasic-digital)</w:t>
            </w:r>
          </w:p>
        </w:tc>
        <w:tc>
          <w:tcPr/>
          <w:p>
            <w:pPr>
              <w:pStyle w:val="Compact"/>
            </w:pPr>
            <w:r>
              <w:rPr>
                <w:rStyle w:val="VerbatimChar"/>
              </w:rPr>
              <w:t xml:space="preserve">challenges/</w:t>
            </w:r>
          </w:p>
        </w:tc>
      </w:tr>
      <w:tr>
        <w:tc>
          <w:tcPr/>
          <w:p>
            <w:pPr>
              <w:pStyle w:val="Compact"/>
            </w:pPr>
            <w:r>
              <w:t xml:space="preserve">CNT</w:t>
            </w:r>
          </w:p>
        </w:tc>
        <w:tc>
          <w:tcPr/>
          <w:p>
            <w:pPr>
              <w:pStyle w:val="Compact"/>
            </w:pPr>
            <w:r>
              <w:t xml:space="preserve">containers submodule</w:t>
            </w:r>
          </w:p>
        </w:tc>
        <w:tc>
          <w:tcPr/>
          <w:p>
            <w:pPr>
              <w:pStyle w:val="Compact"/>
            </w:pPr>
            <w:r>
              <w:rPr>
                <w:rStyle w:val="VerbatimChar"/>
              </w:rPr>
              <w:t xml:space="preserve">containers/</w:t>
            </w:r>
          </w:p>
        </w:tc>
      </w:tr>
      <w:tr>
        <w:tc>
          <w:tcPr/>
          <w:p>
            <w:pPr>
              <w:pStyle w:val="Compact"/>
            </w:pPr>
            <w:r>
              <w:t xml:space="preserve">SEC</w:t>
            </w:r>
          </w:p>
        </w:tc>
        <w:tc>
          <w:tcPr/>
          <w:p>
            <w:pPr>
              <w:pStyle w:val="Compact"/>
            </w:pPr>
            <w:r>
              <w:t xml:space="preserve">security submodule</w:t>
            </w:r>
          </w:p>
        </w:tc>
        <w:tc>
          <w:tcPr/>
          <w:p>
            <w:pPr>
              <w:pStyle w:val="Compact"/>
            </w:pPr>
            <w:r>
              <w:rPr>
                <w:rStyle w:val="VerbatimChar"/>
              </w:rPr>
              <w:t xml:space="preserve">security/</w:t>
            </w:r>
          </w:p>
        </w:tc>
      </w:tr>
      <w:tr>
        <w:tc>
          <w:tcPr/>
          <w:p>
            <w:pPr>
              <w:pStyle w:val="Compact"/>
            </w:pPr>
            <w:r>
              <w:t xml:space="preserve">PAN</w:t>
            </w:r>
          </w:p>
        </w:tc>
        <w:tc>
          <w:tcPr/>
          <w:p>
            <w:pPr>
              <w:pStyle w:val="Compact"/>
            </w:pPr>
            <w:r>
              <w:t xml:space="preserve">panoptic submodule</w:t>
            </w:r>
          </w:p>
        </w:tc>
        <w:tc>
          <w:tcPr/>
          <w:p>
            <w:pPr>
              <w:pStyle w:val="Compact"/>
            </w:pPr>
            <w:r>
              <w:rPr>
                <w:rStyle w:val="VerbatimChar"/>
              </w:rPr>
              <w:t xml:space="preserve">panoptic/</w:t>
            </w:r>
          </w:p>
        </w:tc>
      </w:tr>
    </w:tbl>
    <w:p>
      <w:pPr>
        <w:pStyle w:val="BodyText"/>
      </w:pPr>
      <w:r>
        <w:t xml:space="preserve">For submodules not listed above, default to the first 3 letters of the submodule name, uppercase (e.g. </w:t>
      </w:r>
      <w:r>
        <w:rPr>
          <w:rStyle w:val="VerbatimChar"/>
        </w:rPr>
        <w:t xml:space="preserve">Watcher</w:t>
      </w:r>
      <w:r>
        <w:t xml:space="preserve"> </w:t>
      </w:r>
      <w:r>
        <w:t xml:space="preserve">→</w:t>
      </w:r>
      <w:r>
        <w:t xml:space="preserve"> </w:t>
      </w:r>
      <w:r>
        <w:rPr>
          <w:rStyle w:val="VerbatimChar"/>
        </w:rPr>
        <w:t xml:space="preserve">WAT</w:t>
      </w:r>
      <w:r>
        <w:t xml:space="preserve">). Document the new prefix in this table on first use.</w:t>
      </w:r>
    </w:p>
    <w:bookmarkStart w:id="9" w:name="legacy-new-mapping-round-189"/>
    <w:p>
      <w:pPr>
        <w:pStyle w:val="Heading3"/>
      </w:pPr>
      <w:r>
        <w:t xml:space="preserve">Legacy → new mapping (round 189)</w:t>
      </w:r>
    </w:p>
    <w:tbl>
      <w:tblPr>
        <w:tblStyle w:val="Table"/>
        <w:tblW w:type="pct" w:w="5000"/>
        <w:tblLayout w:type="fixed"/>
        <w:tblLook w:firstRow="1" w:lastRow="0" w:firstColumn="0" w:lastColumn="0" w:noHBand="0" w:noVBand="0" w:val="0020"/>
      </w:tblPr>
      <w:tblGrid>
        <w:gridCol w:w="1920"/>
        <w:gridCol w:w="1920"/>
        <w:gridCol w:w="4080"/>
      </w:tblGrid>
      <w:tr>
        <w:trPr>
          <w:tblHeader w:val="on"/>
        </w:trPr>
        <w:tc>
          <w:tcPr/>
          <w:p>
            <w:pPr>
              <w:pStyle w:val="Compact"/>
            </w:pPr>
            <w:r>
              <w:t xml:space="preserve">Old ID</w:t>
            </w:r>
          </w:p>
        </w:tc>
        <w:tc>
          <w:tcPr/>
          <w:p>
            <w:pPr>
              <w:pStyle w:val="Compact"/>
            </w:pPr>
            <w:r>
              <w:t xml:space="preserve">New ID</w:t>
            </w:r>
          </w:p>
        </w:tc>
        <w:tc>
          <w:tcPr/>
          <w:p>
            <w:pPr>
              <w:pStyle w:val="Compact"/>
            </w:pPr>
            <w:r>
              <w:t xml:space="preserve">Scope rationale</w:t>
            </w:r>
          </w:p>
        </w:tc>
      </w:tr>
      <w:tr>
        <w:tc>
          <w:tcPr/>
          <w:p>
            <w:pPr>
              <w:pStyle w:val="Compact"/>
            </w:pPr>
            <w:r>
              <w:t xml:space="preserve">ISSUE-001</w:t>
            </w:r>
          </w:p>
        </w:tc>
        <w:tc>
          <w:tcPr/>
          <w:p>
            <w:pPr>
              <w:pStyle w:val="Compact"/>
            </w:pPr>
            <w:r>
              <w:t xml:space="preserve">VEN-001</w:t>
            </w:r>
          </w:p>
        </w:tc>
        <w:tc>
          <w:tcPr/>
          <w:p>
            <w:pPr>
              <w:pStyle w:val="Compact"/>
            </w:pPr>
            <w:r>
              <w:t xml:space="preserve">VisionEngine</w:t>
            </w:r>
            <w:r>
              <w:t xml:space="preserve"> </w:t>
            </w:r>
            <w:r>
              <w:rPr>
                <w:rStyle w:val="VerbatimChar"/>
              </w:rPr>
              <w:t xml:space="preserve">helix-gitlab</w:t>
            </w:r>
            <w:r>
              <w:t xml:space="preserve"> </w:t>
            </w:r>
            <w:r>
              <w:t xml:space="preserve">URL</w:t>
            </w:r>
          </w:p>
        </w:tc>
      </w:tr>
      <w:tr>
        <w:tc>
          <w:tcPr/>
          <w:p>
            <w:pPr>
              <w:pStyle w:val="Compact"/>
            </w:pPr>
            <w:r>
              <w:t xml:space="preserve">ISSUE-002</w:t>
            </w:r>
          </w:p>
        </w:tc>
        <w:tc>
          <w:tcPr/>
          <w:p>
            <w:pPr>
              <w:pStyle w:val="Compact"/>
            </w:pPr>
            <w:r>
              <w:t xml:space="preserve">VEN-002</w:t>
            </w:r>
          </w:p>
        </w:tc>
        <w:tc>
          <w:tcPr/>
          <w:p>
            <w:pPr>
              <w:pStyle w:val="Compact"/>
            </w:pPr>
            <w:r>
              <w:t xml:space="preserve">VisionEngine</w:t>
            </w:r>
            <w:r>
              <w:t xml:space="preserve"> </w:t>
            </w:r>
            <w:r>
              <w:rPr>
                <w:rStyle w:val="VerbatimChar"/>
              </w:rPr>
              <w:t xml:space="preserve">vasic-digital-github</w:t>
            </w:r>
            <w:r>
              <w:t xml:space="preserve"> </w:t>
            </w:r>
            <w:r>
              <w:t xml:space="preserve">fork divergent</w:t>
            </w:r>
          </w:p>
        </w:tc>
      </w:tr>
      <w:tr>
        <w:tc>
          <w:tcPr/>
          <w:p>
            <w:pPr>
              <w:pStyle w:val="Compact"/>
            </w:pPr>
            <w:r>
              <w:t xml:space="preserve">ISSUE-003</w:t>
            </w:r>
          </w:p>
        </w:tc>
        <w:tc>
          <w:tcPr/>
          <w:p>
            <w:pPr>
              <w:pStyle w:val="Compact"/>
            </w:pPr>
            <w:r>
              <w:t xml:space="preserve">HXL-001</w:t>
            </w:r>
          </w:p>
        </w:tc>
        <w:tc>
          <w:tcPr/>
          <w:p>
            <w:pPr>
              <w:pStyle w:val="Compact"/>
            </w:pPr>
            <w:r>
              <w:t xml:space="preserve">HelixLLM</w:t>
            </w:r>
            <w:r>
              <w:t xml:space="preserve"> </w:t>
            </w:r>
            <w:r>
              <w:rPr>
                <w:rStyle w:val="VerbatimChar"/>
              </w:rPr>
              <w:t xml:space="preserve">analysis_test.go</w:t>
            </w:r>
            <w:r>
              <w:t xml:space="preserve"> </w:t>
            </w:r>
            <w:r>
              <w:t xml:space="preserve">hardcoded path</w:t>
            </w:r>
          </w:p>
        </w:tc>
      </w:tr>
      <w:tr>
        <w:tc>
          <w:tcPr/>
          <w:p>
            <w:pPr>
              <w:pStyle w:val="Compact"/>
            </w:pPr>
            <w:r>
              <w:t xml:space="preserve">ISSUE-004</w:t>
            </w:r>
          </w:p>
        </w:tc>
        <w:tc>
          <w:tcPr/>
          <w:p>
            <w:pPr>
              <w:pStyle w:val="Compact"/>
            </w:pPr>
            <w:r>
              <w:t xml:space="preserve">HXL-002</w:t>
            </w:r>
          </w:p>
        </w:tc>
        <w:tc>
          <w:tcPr/>
          <w:p>
            <w:pPr>
              <w:pStyle w:val="Compact"/>
            </w:pPr>
            <w:r>
              <w:t xml:space="preserve">HelixLLM TOON</w:t>
            </w:r>
            <w:r>
              <w:t xml:space="preserve"> </w:t>
            </w:r>
            <w:r>
              <w:rPr>
                <w:rStyle w:val="VerbatimChar"/>
              </w:rPr>
              <w:t xml:space="preserve">WriteTOON</w:t>
            </w:r>
            <w:r>
              <w:t xml:space="preserve"> </w:t>
            </w:r>
            <w:r>
              <w:t xml:space="preserve">500</w:t>
            </w:r>
          </w:p>
        </w:tc>
      </w:tr>
      <w:tr>
        <w:tc>
          <w:tcPr/>
          <w:p>
            <w:pPr>
              <w:pStyle w:val="Compact"/>
            </w:pPr>
            <w:r>
              <w:t xml:space="preserve">ISSUE-005</w:t>
            </w:r>
          </w:p>
        </w:tc>
        <w:tc>
          <w:tcPr/>
          <w:p>
            <w:pPr>
              <w:pStyle w:val="Compact"/>
            </w:pPr>
            <w:r>
              <w:t xml:space="preserve">HXC-001</w:t>
            </w:r>
          </w:p>
        </w:tc>
        <w:tc>
          <w:tcPr/>
          <w:p>
            <w:pPr>
              <w:pStyle w:val="Compact"/>
            </w:pPr>
            <w:r>
              <w:t xml:space="preserve">CONST-052 rename programme (project-wide)</w:t>
            </w:r>
          </w:p>
        </w:tc>
      </w:tr>
      <w:tr>
        <w:tc>
          <w:tcPr/>
          <w:p>
            <w:pPr>
              <w:pStyle w:val="Compact"/>
            </w:pPr>
            <w:r>
              <w:t xml:space="preserve">ISSUE-006</w:t>
            </w:r>
          </w:p>
        </w:tc>
        <w:tc>
          <w:tcPr/>
          <w:p>
            <w:pPr>
              <w:pStyle w:val="Compact"/>
            </w:pPr>
            <w:r>
              <w:t xml:space="preserve">HXC-002</w:t>
            </w:r>
          </w:p>
        </w:tc>
        <w:tc>
          <w:tcPr/>
          <w:p>
            <w:pPr>
              <w:pStyle w:val="Compact"/>
            </w:pPr>
            <w:r>
              <w:t xml:space="preserve">Round-74 residual LOGIC FAILs (multi-submodule cross-cutting)</w:t>
            </w:r>
          </w:p>
        </w:tc>
      </w:tr>
      <w:tr>
        <w:tc>
          <w:tcPr/>
          <w:p>
            <w:pPr>
              <w:pStyle w:val="Compact"/>
            </w:pPr>
            <w:r>
              <w:t xml:space="preserve">ISSUE-007</w:t>
            </w:r>
          </w:p>
        </w:tc>
        <w:tc>
          <w:tcPr/>
          <w:p>
            <w:pPr>
              <w:pStyle w:val="Compact"/>
            </w:pPr>
            <w:r>
              <w:t xml:space="preserve">HXC-003</w:t>
            </w:r>
          </w:p>
        </w:tc>
        <w:tc>
          <w:tcPr/>
          <w:p>
            <w:pPr>
              <w:pStyle w:val="Compact"/>
            </w:pPr>
            <w:r>
              <w:t xml:space="preserve">CONST-046 migration backlog (project-wide)</w:t>
            </w:r>
          </w:p>
        </w:tc>
      </w:tr>
      <w:tr>
        <w:tc>
          <w:tcPr/>
          <w:p>
            <w:pPr>
              <w:pStyle w:val="Compact"/>
            </w:pPr>
            <w:r>
              <w:t xml:space="preserve">ISSUE-008</w:t>
            </w:r>
          </w:p>
        </w:tc>
        <w:tc>
          <w:tcPr/>
          <w:p>
            <w:pPr>
              <w:pStyle w:val="Compact"/>
            </w:pPr>
            <w:r>
              <w:t xml:space="preserve">HXQ-001</w:t>
            </w:r>
          </w:p>
        </w:tc>
        <w:tc>
          <w:tcPr/>
          <w:p>
            <w:pPr>
              <w:pStyle w:val="Compact"/>
            </w:pPr>
            <w:r>
              <w:t xml:space="preserve">helix_qa</w:t>
            </w:r>
            <w:r>
              <w:t xml:space="preserve"> </w:t>
            </w:r>
            <w:r>
              <w:rPr>
                <w:rStyle w:val="VerbatimChar"/>
              </w:rPr>
              <w:t xml:space="preserve">TestPerformance</w:t>
            </w:r>
            <w:r>
              <w:t xml:space="preserve"> </w:t>
            </w:r>
            <w:r>
              <w:t xml:space="preserve">flake</w:t>
            </w:r>
          </w:p>
        </w:tc>
      </w:tr>
      <w:tr>
        <w:tc>
          <w:tcPr/>
          <w:p>
            <w:pPr>
              <w:pStyle w:val="Compact"/>
            </w:pPr>
            <w:r>
              <w:t xml:space="preserve">ISSUE-009</w:t>
            </w:r>
          </w:p>
        </w:tc>
        <w:tc>
          <w:tcPr/>
          <w:p>
            <w:pPr>
              <w:pStyle w:val="Compact"/>
            </w:pPr>
            <w:r>
              <w:t xml:space="preserve">HXA-001</w:t>
            </w:r>
          </w:p>
        </w:tc>
        <w:tc>
          <w:tcPr/>
          <w:p>
            <w:pPr>
              <w:pStyle w:val="Compact"/>
            </w:pPr>
            <w:r>
              <w:t xml:space="preserve">helix_agent handler tests (4)</w:t>
            </w:r>
          </w:p>
        </w:tc>
      </w:tr>
      <w:tr>
        <w:tc>
          <w:tcPr/>
          <w:p>
            <w:pPr>
              <w:pStyle w:val="Compact"/>
            </w:pPr>
            <w:r>
              <w:t xml:space="preserve">ISSUE-010</w:t>
            </w:r>
          </w:p>
        </w:tc>
        <w:tc>
          <w:tcPr/>
          <w:p>
            <w:pPr>
              <w:pStyle w:val="Compact"/>
            </w:pPr>
            <w:r>
              <w:t xml:space="preserve">HXA-002</w:t>
            </w:r>
          </w:p>
        </w:tc>
        <w:tc>
          <w:tcPr/>
          <w:p>
            <w:pPr>
              <w:pStyle w:val="Compact"/>
            </w:pPr>
            <w:r>
              <w:t xml:space="preserve">helix_agent debate API drift</w:t>
            </w:r>
          </w:p>
        </w:tc>
      </w:tr>
      <w:tr>
        <w:tc>
          <w:tcPr/>
          <w:p>
            <w:pPr>
              <w:pStyle w:val="Compact"/>
            </w:pPr>
            <w:r>
              <w:t xml:space="preserve">ISSUE-011</w:t>
            </w:r>
          </w:p>
        </w:tc>
        <w:tc>
          <w:tcPr/>
          <w:p>
            <w:pPr>
              <w:pStyle w:val="Compact"/>
            </w:pPr>
            <w:r>
              <w:t xml:space="preserve">HXA-003</w:t>
            </w:r>
          </w:p>
        </w:tc>
        <w:tc>
          <w:tcPr/>
          <w:p>
            <w:pPr>
              <w:pStyle w:val="Compact"/>
            </w:pPr>
            <w:r>
              <w:t xml:space="preserve">venice CONST-037 (in helix_agent)</w:t>
            </w:r>
          </w:p>
        </w:tc>
      </w:tr>
    </w:tbl>
    <w:p>
      <w:r>
        <w:pict>
          <v:rect style="width:0;height:1.5pt" o:hralign="center" o:hrstd="t" o:hr="t"/>
        </w:pict>
      </w:r>
    </w:p>
    <w:bookmarkEnd w:id="9"/>
    <w:bookmarkEnd w:id="10"/>
    <w:bookmarkStart w:id="11" w:name="Xeb0cf67190292f2f8e325a1139727c1a6cfe04f"/>
    <w:p>
      <w:pPr>
        <w:pStyle w:val="Heading2"/>
      </w:pPr>
      <w:r>
        <w:t xml:space="preserve">HXC-118 — Retrieval-Augmented-Generation (RAG) module exists but is not connected to the application</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Feature</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p>
    <w:p>
      <w:pPr>
        <w:pStyle w:val="BodyText"/>
      </w:pPr>
      <w:r>
        <w:t xml:space="preserve">A dedicated Retrieval-Augmented-Generation component is maintained as its own reusable module, but the main application does not import or use it anywhere. A capability the product is expected to offer (answering using retrieved documents) is therefore effectively unavailable to end users despite the code existing. The work integrates the existing RAG module into the application, wires it into the request flow, and exposes its capability flag. Users gain working document-grounded answers instead of an orphaned, unused component.</w:t>
      </w:r>
    </w:p>
    <w:bookmarkEnd w:id="11"/>
    <w:bookmarkStart w:id="12" w:name="X9a89ba240b8588079e28ad21b10e1a4675cc927"/>
    <w:p>
      <w:pPr>
        <w:pStyle w:val="Heading2"/>
      </w:pPr>
      <w:r>
        <w:t xml:space="preserve">HXC-119 — Agent Client Protocol (ACP) support is absent from the platform</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Feature</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p>
    <w:p>
      <w:pPr>
        <w:pStyle w:val="BodyText"/>
      </w:pPr>
      <w:r>
        <w:t xml:space="preserve">Governance rule CONST-040 lists the Agent Client Protocol among required capabilities, but there is no implementation of it anywhere in the codebase. Any user or integration expecting ACP connectivity currently cannot use it. The work is to design and implement real ACP support, or, if it proves structurally infeasible, to document that with cited evidence. The platform will then either genuinely support ACP or hold an honest, evidenced position instead of an unmet claim.</w:t>
      </w:r>
    </w:p>
    <w:bookmarkEnd w:id="12"/>
    <w:bookmarkStart w:id="13" w:name="X7168da4de5f2d2c60117a713485cc4d3f54b921"/>
    <w:p>
      <w:pPr>
        <w:pStyle w:val="Heading2"/>
      </w:pPr>
      <w:r>
        <w:t xml:space="preserve">HXC-122 — Memory and automation test suites mostly skip themselves without a running server</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t xml:space="preserve">Two categories of tests, memory-usage and end-to-end automation, skip most of their cases by default because they require a live server or special environment flags not set in normal runs. In practice these areas are largely unverified even though the tests appear to exist. The work provides a documented, repeatable way to run them against real infrastructure so they actually execute and prove the behavior. Memory and automation behavior then becomes genuinely tested rather than merely scaffolded.</w:t>
      </w:r>
    </w:p>
    <w:bookmarkEnd w:id="13"/>
    <w:bookmarkStart w:id="14" w:name="X14cf2054f0d6232efe903a1c4542755a8432c0d"/>
    <w:p>
      <w:pPr>
        <w:pStyle w:val="Heading2"/>
      </w:pPr>
      <w:r>
        <w:t xml:space="preserve">HXC-136 — Verify the remaining automated test types run with real captured evidence</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t xml:space="preserve">Several mandated automated test categories — load/denial-of-service, scaling, stress and chaos, and user-interface/experience — were not exercised in the latest real-infrastructure run, so their current health is unconfirmed. The work is to run each of these test types against real infrastructure and capture proof of the results. This completes the promised full test-type coverage and confirms the product holds up under load and adverse conditions.</w:t>
      </w:r>
    </w:p>
    <w:bookmarkEnd w:id="14"/>
    <w:bookmarkStart w:id="15" w:name="Xe5c0b9484c2706131a5e705eca910482f01e090"/>
    <w:p>
      <w:pPr>
        <w:pStyle w:val="Heading2"/>
      </w:pPr>
      <w:r>
        <w:t xml:space="preserve">HXC-138 — Run the end-to-end challenge suite against a running server</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Claude</w:t>
      </w:r>
    </w:p>
    <w:p>
      <w:pPr>
        <w:pStyle w:val="BodyText"/>
      </w:pPr>
      <w:r>
        <w:t xml:space="preserve">The end-to-end challenge runner can now launch all its scenarios (a missing option was just fixed), but the scenarios still need to be executed against a live server with a real model to confirm the complete user journeys work. The work is to stand up a server and run the challenges, capturing the results. This provides real proof that the headline user workflows function end to end.</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2026-07-12T14:35:08Z</dcterms:created>
  <dcterms:modified xsi:type="dcterms:W3CDTF">2026-07-12T14:35:08Z</dcterms:modified>
</cp:coreProperties>
</file>

<file path=docProps/custom.xml><?xml version="1.0" encoding="utf-8"?>
<Properties xmlns="http://schemas.openxmlformats.org/officeDocument/2006/custom-properties" xmlns:vt="http://schemas.openxmlformats.org/officeDocument/2006/docPropsVTypes"/>
</file>