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helixcode-open-issues-tracker"/>
    <w:p>
      <w:pPr>
        <w:pStyle w:val="Heading1"/>
      </w:pPr>
      <w:r>
        <w:t xml:space="preserve">HelixCode — Open Issues Tracker</w:t>
      </w:r>
    </w:p>
    <w:p>
      <w:pPr>
        <w:pStyle w:val="BlockText"/>
      </w:pPr>
      <w:r>
        <w:t xml:space="preserve">Per Constitution §11.4.15 (Item-status tracking) + §11.4.16 (Item-type tracking) + §11.4.19 (Fixed-document column-alignment) + CONST-057 (Type-aware closure vocabulary) + CONST-058 (Reopened-source attribution).</w:t>
      </w:r>
    </w:p>
    <w:p>
      <w:pPr>
        <w:pStyle w:val="BlockText"/>
      </w:pPr>
      <w:r>
        <w:rPr>
          <w:b/>
          <w:bCs/>
        </w:rPr>
        <w:t xml:space="preserve">Authoritative resumption ledger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(CONST-044). This file complements it with item-level granularity for currently-open work.</w:t>
      </w:r>
    </w:p>
    <w:p>
      <w:pPr>
        <w:pStyle w:val="BlockText"/>
      </w:pPr>
      <w:r>
        <w:rPr>
          <w:b/>
          <w:bCs/>
        </w:rPr>
        <w:t xml:space="preserve">Status vocabulary</w:t>
      </w:r>
      <w:r>
        <w:t xml:space="preserve"> </w:t>
      </w:r>
      <w:r>
        <w:t xml:space="preserve">(closed set):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Fixed/Implemented/Completed (→ Fixed.md)</w:t>
      </w:r>
    </w:p>
    <w:p>
      <w:pPr>
        <w:pStyle w:val="BlockText"/>
      </w:pPr>
      <w:r>
        <w:rPr>
          <w:b/>
          <w:bCs/>
        </w:rPr>
        <w:t xml:space="preserve">Type vocabulary</w:t>
      </w:r>
      <w:r>
        <w:t xml:space="preserve"> </w:t>
      </w:r>
      <w:r>
        <w:t xml:space="preserve">(closed set):</w:t>
      </w:r>
      <w:r>
        <w:t xml:space="preserve"> </w:t>
      </w:r>
      <w:r>
        <w:rPr>
          <w:rStyle w:val="VerbatimChar"/>
        </w:rPr>
        <w:t xml:space="preserve">Bug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Task</w:t>
      </w:r>
    </w:p>
    <w:p>
      <w:r>
        <w:pict>
          <v:rect style="width:0;height:1.5pt" o:hralign="center" o:hrstd="t" o:hr="t"/>
        </w:pict>
      </w:r>
    </w:p>
    <w:bookmarkStart w:id="10" w:name="prefix-convention"/>
    <w:p>
      <w:pPr>
        <w:pStyle w:val="Heading2"/>
      </w:pPr>
      <w:r>
        <w:t xml:space="preserve">Prefix convention</w:t>
      </w:r>
    </w:p>
    <w:p>
      <w:pPr>
        <w:pStyle w:val="FirstParagraph"/>
      </w:pPr>
      <w:r>
        <w:t xml:space="preserve">Round 189 (2026-05-19) introduced per-project / per-submodule ID prefixes replacing the legacy</w:t>
      </w:r>
      <w:r>
        <w:t xml:space="preserve"> </w:t>
      </w:r>
      <w:r>
        <w:rPr>
          <w:rStyle w:val="VerbatimChar"/>
        </w:rPr>
        <w:t xml:space="preserve">ISSUE-NNN</w:t>
      </w:r>
      <w:r>
        <w:t xml:space="preserve"> </w:t>
      </w:r>
      <w:r>
        <w:t xml:space="preserve">flat namespace. New items MUST use the prefix matching their scope; cross-cutting items affecting two or more submodules (or any meta-repo concern) live under</w:t>
      </w:r>
      <w:r>
        <w:t xml:space="preserve"> </w:t>
      </w:r>
      <w:r>
        <w:rPr>
          <w:rStyle w:val="VerbatimChar"/>
        </w:rPr>
        <w:t xml:space="preserve">HXC</w:t>
      </w:r>
      <w:r>
        <w:t xml:space="preserve">. Numeric portion is per-prefix (each prefix starts at</w:t>
      </w:r>
      <w:r>
        <w:t xml:space="preserve"> </w:t>
      </w:r>
      <w:r>
        <w:rPr>
          <w:rStyle w:val="VerbatimChar"/>
        </w:rPr>
        <w:t xml:space="preserve">001</w:t>
      </w:r>
      <w:r>
        <w:t xml:space="preserve">). Legacy</w:t>
      </w:r>
      <w:r>
        <w:t xml:space="preserve"> </w:t>
      </w:r>
      <w:r>
        <w:rPr>
          <w:rStyle w:val="VerbatimChar"/>
        </w:rPr>
        <w:t xml:space="preserve">ISSUE-NNN</w:t>
      </w:r>
      <w:r>
        <w:t xml:space="preserve"> </w:t>
      </w:r>
      <w:r>
        <w:t xml:space="preserve">IDs renamed forward-only per CONST-043; historical close-out narratives in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preserve original IDs verbatim, and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annotates each closure with</w:t>
      </w:r>
      <w:r>
        <w:t xml:space="preserve"> </w:t>
      </w:r>
      <w:r>
        <w:rPr>
          <w:rStyle w:val="VerbatimChar"/>
        </w:rPr>
        <w:t xml:space="preserve">(ex-ISSUE-NNN)</w:t>
      </w:r>
      <w:r>
        <w:t xml:space="preserve"> </w:t>
      </w:r>
      <w:r>
        <w:t xml:space="preserve">for git-history traceability.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410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HelixCode root project (project-wide, multi-submodule, governance, infrastructure)</w:t>
            </w:r>
          </w:p>
        </w:tc>
        <w:tc>
          <w:tcPr/>
          <w:p>
            <w:pPr>
              <w:pStyle w:val="Compact"/>
            </w:pPr>
            <w:r>
              <w:t xml:space="preserve">this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</w:t>
            </w:r>
          </w:p>
        </w:tc>
        <w:tc>
          <w:tcPr/>
          <w:p>
            <w:pPr>
              <w:pStyle w:val="Compact"/>
            </w:pPr>
            <w:r>
              <w:t xml:space="preserve">HelixAgent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submodules/helix_agent</w:t>
            </w:r>
            <w:r>
              <w:t xml:space="preserve"> </w:t>
            </w:r>
            <w:r>
              <w:t xml:space="preserve">(when present) /</w:t>
            </w:r>
            <w:r>
              <w:t xml:space="preserve"> </w:t>
            </w:r>
            <w:r>
              <w:rPr>
                <w:rStyle w:val="VerbatimChar"/>
              </w:rPr>
              <w:t xml:space="preserve">helix_agent/</w:t>
            </w:r>
            <w:r>
              <w:t xml:space="preserve"> </w:t>
            </w:r>
            <w:r>
              <w:t xml:space="preserve">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HXM</w:t>
            </w:r>
          </w:p>
        </w:tc>
        <w:tc>
          <w:tcPr/>
          <w:p>
            <w:pPr>
              <w:pStyle w:val="Compact"/>
            </w:pPr>
            <w:r>
              <w:t xml:space="preserve">HelixMemory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</w:t>
            </w:r>
          </w:p>
        </w:tc>
        <w:tc>
          <w:tcPr/>
          <w:p>
            <w:pPr>
              <w:pStyle w:val="Compact"/>
            </w:pPr>
            <w:r>
              <w:t xml:space="preserve">HelixLLM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submodules/helix_llm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HXQ</w:t>
            </w:r>
          </w:p>
        </w:tc>
        <w:tc>
          <w:tcPr/>
          <w:p>
            <w:pPr>
              <w:pStyle w:val="Compact"/>
            </w:pPr>
            <w:r>
              <w:t xml:space="preserve">HelixQA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submodules/helix_qa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helix_qa/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HXS</w:t>
            </w:r>
          </w:p>
        </w:tc>
        <w:tc>
          <w:tcPr/>
          <w:p>
            <w:pPr>
              <w:pStyle w:val="Compact"/>
            </w:pPr>
            <w:r>
              <w:t xml:space="preserve">HelixSpecifier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submodules/helix_specifier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HXO</w:t>
            </w:r>
          </w:p>
        </w:tc>
        <w:tc>
          <w:tcPr/>
          <w:p>
            <w:pPr>
              <w:pStyle w:val="Compact"/>
            </w:pPr>
            <w:r>
              <w:t xml:space="preserve">HelixOrchestrator (= LLMOrchestrator)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submodules/llm_orchestrator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</w:t>
            </w:r>
          </w:p>
        </w:tc>
        <w:tc>
          <w:tcPr/>
          <w:p>
            <w:pPr>
              <w:pStyle w:val="Compact"/>
            </w:pPr>
            <w:r>
              <w:t xml:space="preserve">HelixVerifier (= LLMsVerifier)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submodules/llms_verifier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HXD</w:t>
            </w:r>
          </w:p>
        </w:tc>
        <w:tc>
          <w:tcPr/>
          <w:p>
            <w:pPr>
              <w:pStyle w:val="Compact"/>
            </w:pPr>
            <w:r>
              <w:t xml:space="preserve">HelixDocProcessor (= DocProcessor)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submodules/doc_processor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HXI</w:t>
            </w:r>
          </w:p>
        </w:tc>
        <w:tc>
          <w:tcPr/>
          <w:p>
            <w:pPr>
              <w:pStyle w:val="Compact"/>
            </w:pPr>
            <w:r>
              <w:t xml:space="preserve">HelixI18n (when added)</w:t>
            </w:r>
          </w:p>
        </w:tc>
        <w:tc>
          <w:tcPr/>
          <w:p>
            <w:pPr>
              <w:pStyle w:val="Compact"/>
            </w:pPr>
            <w:r>
              <w:t xml:space="preserve">tba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PLN</w:t>
            </w:r>
          </w:p>
        </w:tc>
        <w:tc>
          <w:tcPr/>
          <w:p>
            <w:pPr>
              <w:pStyle w:val="Compact"/>
            </w:pPr>
            <w:r>
              <w:t xml:space="preserve">Planning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</w:t>
            </w:r>
          </w:p>
        </w:tc>
        <w:tc>
          <w:tcPr/>
          <w:p>
            <w:pPr>
              <w:pStyle w:val="Compact"/>
            </w:pPr>
            <w:r>
              <w:t xml:space="preserve">VisionEngine submodule (HelixDevelopment)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submodules/vision_engine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SLF</w:t>
            </w:r>
          </w:p>
        </w:tc>
        <w:tc>
          <w:tcPr/>
          <w:p>
            <w:pPr>
              <w:pStyle w:val="Compact"/>
            </w:pPr>
            <w:r>
              <w:t xml:space="preserve">SelfImprove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submodules/self_improve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</w:t>
            </w:r>
          </w:p>
        </w:tc>
        <w:tc>
          <w:tcPr/>
          <w:p>
            <w:pPr>
              <w:pStyle w:val="Compact"/>
            </w:pPr>
            <w:r>
              <w:t xml:space="preserve">Storage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LLMOps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submodules/llm_ops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VDB</w:t>
            </w:r>
          </w:p>
        </w:tc>
        <w:tc>
          <w:tcPr/>
          <w:p>
            <w:pPr>
              <w:pStyle w:val="Compact"/>
            </w:pPr>
            <w:r>
              <w:t xml:space="preserve">VectorDB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submodules/vector_db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Observability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submodules/observability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MCP_Module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submodules/mcp_module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Messaging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MDW</w:t>
            </w:r>
          </w:p>
        </w:tc>
        <w:tc>
          <w:tcPr/>
          <w:p>
            <w:pPr>
              <w:pStyle w:val="Compact"/>
            </w:pPr>
            <w:r>
              <w:t xml:space="preserve">Middleware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Plugins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submodules/plugins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Streaming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submodules/streaming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</w:t>
            </w:r>
          </w:p>
        </w:tc>
        <w:tc>
          <w:tcPr/>
          <w:p>
            <w:pPr>
              <w:pStyle w:val="Compact"/>
            </w:pPr>
            <w:r>
              <w:t xml:space="preserve">Watcher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submodules/watcher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conversation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</w:t>
            </w:r>
          </w:p>
        </w:tc>
        <w:tc>
          <w:tcPr/>
          <w:p>
            <w:pPr>
              <w:pStyle w:val="Compact"/>
            </w:pPr>
            <w:r>
              <w:t xml:space="preserve">Auth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LZY</w:t>
            </w:r>
          </w:p>
        </w:tc>
        <w:tc>
          <w:tcPr/>
          <w:p>
            <w:pPr>
              <w:pStyle w:val="Compact"/>
            </w:pPr>
            <w:r>
              <w:t xml:space="preserve">Lazy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submodules/lazy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ATP</w:t>
            </w:r>
          </w:p>
        </w:tc>
        <w:tc>
          <w:tcPr/>
          <w:p>
            <w:pPr>
              <w:pStyle w:val="Compact"/>
            </w:pPr>
            <w:r>
              <w:t xml:space="preserve">AutoTemp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submodules/auto_temp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PLI</w:t>
            </w:r>
          </w:p>
        </w:tc>
        <w:tc>
          <w:tcPr/>
          <w:p>
            <w:pPr>
              <w:pStyle w:val="Compact"/>
            </w:pPr>
            <w:r>
              <w:t xml:space="preserve">PliniusCommon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submodules/plinius_common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CHL</w:t>
            </w:r>
          </w:p>
        </w:tc>
        <w:tc>
          <w:tcPr/>
          <w:p>
            <w:pPr>
              <w:pStyle w:val="Compact"/>
            </w:pPr>
            <w:r>
              <w:t xml:space="preserve">challenges submodule (vasic-digital)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CNT</w:t>
            </w:r>
          </w:p>
        </w:tc>
        <w:tc>
          <w:tcPr/>
          <w:p>
            <w:pPr>
              <w:pStyle w:val="Compact"/>
            </w:pPr>
            <w:r>
              <w:t xml:space="preserve">containers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security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panoptic 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panoptic/</w:t>
            </w:r>
          </w:p>
        </w:tc>
      </w:tr>
    </w:tbl>
    <w:p>
      <w:pPr>
        <w:pStyle w:val="BodyText"/>
      </w:pPr>
      <w:r>
        <w:t xml:space="preserve">For submodules not listed above, default to the first 3 letters of the submodule name, uppercase (e.g. </w:t>
      </w:r>
      <w:r>
        <w:rPr>
          <w:rStyle w:val="VerbatimChar"/>
        </w:rPr>
        <w:t xml:space="preserve">Watcher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WAT</w:t>
      </w:r>
      <w:r>
        <w:t xml:space="preserve">). Document the new prefix in this table on first use.</w:t>
      </w:r>
    </w:p>
    <w:bookmarkStart w:id="9" w:name="legacy-new-mapping-round-189"/>
    <w:p>
      <w:pPr>
        <w:pStyle w:val="Heading3"/>
      </w:pPr>
      <w:r>
        <w:t xml:space="preserve">Legacy → new mapping (round 189)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192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Old ID</w:t>
            </w:r>
          </w:p>
        </w:tc>
        <w:tc>
          <w:tcPr/>
          <w:p>
            <w:pPr>
              <w:pStyle w:val="Compact"/>
            </w:pPr>
            <w:r>
              <w:t xml:space="preserve">New ID</w:t>
            </w:r>
          </w:p>
        </w:tc>
        <w:tc>
          <w:tcPr/>
          <w:p>
            <w:pPr>
              <w:pStyle w:val="Compact"/>
            </w:pPr>
            <w:r>
              <w:t xml:space="preserve">Scope 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ISSUE-001</w:t>
            </w:r>
          </w:p>
        </w:tc>
        <w:tc>
          <w:tcPr/>
          <w:p>
            <w:pPr>
              <w:pStyle w:val="Compact"/>
            </w:pPr>
            <w:r>
              <w:t xml:space="preserve">VEN-001</w:t>
            </w:r>
          </w:p>
        </w:tc>
        <w:tc>
          <w:tcPr/>
          <w:p>
            <w:pPr>
              <w:pStyle w:val="Compact"/>
            </w:pPr>
            <w:r>
              <w:t xml:space="preserve">VisionEngine</w:t>
            </w:r>
            <w:r>
              <w:t xml:space="preserve"> </w:t>
            </w:r>
            <w:r>
              <w:rPr>
                <w:rStyle w:val="VerbatimChar"/>
              </w:rPr>
              <w:t xml:space="preserve">helix-gitlab</w:t>
            </w:r>
            <w:r>
              <w:t xml:space="preserve"> </w:t>
            </w: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ISSUE-002</w:t>
            </w:r>
          </w:p>
        </w:tc>
        <w:tc>
          <w:tcPr/>
          <w:p>
            <w:pPr>
              <w:pStyle w:val="Compact"/>
            </w:pPr>
            <w:r>
              <w:t xml:space="preserve">VEN-002</w:t>
            </w:r>
          </w:p>
        </w:tc>
        <w:tc>
          <w:tcPr/>
          <w:p>
            <w:pPr>
              <w:pStyle w:val="Compact"/>
            </w:pPr>
            <w:r>
              <w:t xml:space="preserve">VisionEngine</w:t>
            </w:r>
            <w:r>
              <w:t xml:space="preserve"> </w:t>
            </w:r>
            <w:r>
              <w:rPr>
                <w:rStyle w:val="VerbatimChar"/>
              </w:rPr>
              <w:t xml:space="preserve">vasic-digital-github</w:t>
            </w:r>
            <w:r>
              <w:t xml:space="preserve"> </w:t>
            </w:r>
            <w:r>
              <w:t xml:space="preserve">fork divergent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ISSUE-003</w:t>
            </w:r>
          </w:p>
        </w:tc>
        <w:tc>
          <w:tcPr/>
          <w:p>
            <w:pPr>
              <w:pStyle w:val="Compact"/>
            </w:pPr>
            <w:r>
              <w:t xml:space="preserve">HXL-001</w:t>
            </w:r>
          </w:p>
        </w:tc>
        <w:tc>
          <w:tcPr/>
          <w:p>
            <w:pPr>
              <w:pStyle w:val="Compact"/>
            </w:pPr>
            <w:r>
              <w:t xml:space="preserve">HelixLLM</w:t>
            </w:r>
            <w:r>
              <w:t xml:space="preserve"> </w:t>
            </w:r>
            <w:r>
              <w:rPr>
                <w:rStyle w:val="VerbatimChar"/>
              </w:rPr>
              <w:t xml:space="preserve">analysis_test.go</w:t>
            </w:r>
            <w:r>
              <w:t xml:space="preserve"> </w:t>
            </w:r>
            <w:r>
              <w:t xml:space="preserve">hardcoded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ISSUE-004</w:t>
            </w:r>
          </w:p>
        </w:tc>
        <w:tc>
          <w:tcPr/>
          <w:p>
            <w:pPr>
              <w:pStyle w:val="Compact"/>
            </w:pPr>
            <w:r>
              <w:t xml:space="preserve">HXL-002</w:t>
            </w:r>
          </w:p>
        </w:tc>
        <w:tc>
          <w:tcPr/>
          <w:p>
            <w:pPr>
              <w:pStyle w:val="Compact"/>
            </w:pPr>
            <w:r>
              <w:t xml:space="preserve">HelixLLM TOON</w:t>
            </w:r>
            <w:r>
              <w:t xml:space="preserve"> </w:t>
            </w:r>
            <w:r>
              <w:rPr>
                <w:rStyle w:val="VerbatimChar"/>
              </w:rPr>
              <w:t xml:space="preserve">WriteTOON</w:t>
            </w:r>
            <w:r>
              <w:t xml:space="preserve"> </w:t>
            </w: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ISSUE-005</w:t>
            </w:r>
          </w:p>
        </w:tc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CONST-052 rename programme (project-wide)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ISSUE-006</w:t>
            </w:r>
          </w:p>
        </w:tc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Round-74 residual LOGIC FAILs (multi-submodule cross-cutting)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ISSUE-007</w:t>
            </w:r>
          </w:p>
        </w:tc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CONST-046 migration backlog (project-wide)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ISSUE-008</w:t>
            </w:r>
          </w:p>
        </w:tc>
        <w:tc>
          <w:tcPr/>
          <w:p>
            <w:pPr>
              <w:pStyle w:val="Compact"/>
            </w:pPr>
            <w:r>
              <w:t xml:space="preserve">HXQ-001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  <w:r>
              <w:t xml:space="preserve"> </w:t>
            </w:r>
            <w:r>
              <w:rPr>
                <w:rStyle w:val="VerbatimChar"/>
              </w:rPr>
              <w:t xml:space="preserve">TestPerformance</w:t>
            </w:r>
            <w:r>
              <w:t xml:space="preserve"> </w:t>
            </w:r>
            <w:r>
              <w:t xml:space="preserve">flake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ISSUE-009</w:t>
            </w:r>
          </w:p>
        </w:tc>
        <w:tc>
          <w:tcPr/>
          <w:p>
            <w:pPr>
              <w:pStyle w:val="Compact"/>
            </w:pPr>
            <w:r>
              <w:t xml:space="preserve">HXA-001</w:t>
            </w:r>
          </w:p>
        </w:tc>
        <w:tc>
          <w:tcPr/>
          <w:p>
            <w:pPr>
              <w:pStyle w:val="Compact"/>
            </w:pPr>
            <w:r>
              <w:t xml:space="preserve">helix_agent handler tests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ISSUE-010</w:t>
            </w:r>
          </w:p>
        </w:tc>
        <w:tc>
          <w:tcPr/>
          <w:p>
            <w:pPr>
              <w:pStyle w:val="Compact"/>
            </w:pPr>
            <w:r>
              <w:t xml:space="preserve">HXA-002</w:t>
            </w:r>
          </w:p>
        </w:tc>
        <w:tc>
          <w:tcPr/>
          <w:p>
            <w:pPr>
              <w:pStyle w:val="Compact"/>
            </w:pPr>
            <w:r>
              <w:t xml:space="preserve">helix_agent debate API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ISSUE-011</w:t>
            </w:r>
          </w:p>
        </w:tc>
        <w:tc>
          <w:tcPr/>
          <w:p>
            <w:pPr>
              <w:pStyle w:val="Compact"/>
            </w:pPr>
            <w:r>
              <w:t xml:space="preserve">HXA-003</w:t>
            </w:r>
          </w:p>
        </w:tc>
        <w:tc>
          <w:tcPr/>
          <w:p>
            <w:pPr>
              <w:pStyle w:val="Compact"/>
            </w:pPr>
            <w:r>
              <w:t xml:space="preserve">venice CONST-037 (in helix_agent)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2026-07-12T19:40:03Z</dcterms:created>
  <dcterms:modified xsi:type="dcterms:W3CDTF">2026-07-12T19:40:03Z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