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c14e6b2a2bdc39724e37cac6c44e1ad3dcb67b"/>
    <w:p>
      <w:pPr>
        <w:pStyle w:val="Heading1"/>
      </w:pPr>
      <w:r>
        <w:t xml:space="preserve">Target Multi-Account (Tenant) Data Model — To-Be Design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is the KEYSTONE data-model design for adding an ACCOUNT (tenant)</w:t>
      </w:r>
      <w:r>
        <w:t xml:space="preserve"> </w:t>
      </w:r>
      <w:r>
        <w:t xml:space="preserve">layer to the Helix OTA control plane (</w:t>
      </w:r>
      <w:r>
        <w:rPr>
          <w:rStyle w:val="VerbatimChar"/>
        </w:rPr>
        <w:t xml:space="preserve">server/</w:t>
      </w:r>
      <w:r>
        <w:t xml:space="preserve">, Go/Gin modular monolith). It</w:t>
      </w:r>
      <w:r>
        <w:t xml:space="preserve"> </w:t>
      </w:r>
      <w:r>
        <w:t xml:space="preserve">designs the to-be entities (Account, User, Membership, Role/Permission), how they</w:t>
      </w:r>
      <w:r>
        <w:t xml:space="preserve"> </w:t>
      </w:r>
      <w:r>
        <w:t xml:space="preserve">scope the existing OTA model (Device/Artifact/Release/Deployment/Telemetry/Group),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extension for BOTH the in-memory MVP and the pgx target, a</w:t>
      </w:r>
      <w:r>
        <w:t xml:space="preserve"> </w:t>
      </w:r>
      <w:r>
        <w:t xml:space="preserve">migration-style DDL sketch, the OQ-4 migration path, and the super-admin at the</w:t>
      </w:r>
      <w:r>
        <w:t xml:space="preserve"> </w:t>
      </w:r>
      <w:r>
        <w:t xml:space="preserve">data layer. It is the single source of truth the sibling to-be docs</w:t>
      </w:r>
      <w:r>
        <w:t xml:space="preserve"> </w:t>
      </w:r>
      <w:r>
        <w:t xml:space="preserve">(</w:t>
      </w:r>
      <w:r>
        <w:rPr>
          <w:rStyle w:val="VerbatimChar"/>
        </w:rPr>
        <w:t xml:space="preserve">21_authz_rbac_superadmin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22_api_surface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24_project_side_cli</w:t>
      </w:r>
      <w:r>
        <w:t xml:space="preserve">,</w:t>
      </w:r>
      <w:r>
        <w:t xml:space="preserve"> </w:t>
      </w:r>
      <w:r>
        <w:rPr>
          <w:rStyle w:val="VerbatimChar"/>
        </w:rPr>
        <w:t xml:space="preserve">26_security_threat_model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30_delivery_plan</w:t>
      </w:r>
      <w:r>
        <w:t xml:space="preserve">) reference — so it is deliberately</w:t>
      </w:r>
      <w:r>
        <w:t xml:space="preserve"> </w:t>
      </w:r>
      <w:r>
        <w:t xml:space="preserve">precise and self-consistent (§11.4.186 anti-divergence).</w:t>
      </w:r>
    </w:p>
    <w:p>
      <w:pPr>
        <w:pStyle w:val="BlockText"/>
      </w:pPr>
      <w:r>
        <w:rPr>
          <w:b/>
          <w:bCs/>
        </w:rPr>
        <w:t xml:space="preserve">Reading order.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(mandate + open questions) and</w:t>
      </w:r>
      <w:r>
        <w:t xml:space="preserve"> </w:t>
      </w:r>
      <w:r>
        <w:rPr>
          <w:rStyle w:val="VerbatimChar"/>
        </w:rPr>
        <w:t xml:space="preserve">10_existing_auth_and_project_model.md</w:t>
      </w:r>
      <w:r>
        <w:t xml:space="preserve"> </w:t>
      </w:r>
      <w:r>
        <w:t xml:space="preserve">(the authoritative as-is facts) FIRST.</w:t>
      </w:r>
      <w:r>
        <w:t xml:space="preserve"> </w:t>
      </w:r>
      <w:r>
        <w:t xml:space="preserve">Every as-is claim below is grounded in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those docs already</w:t>
      </w:r>
      <w:r>
        <w:t xml:space="preserve"> </w:t>
      </w:r>
      <w:r>
        <w:t xml:space="preserve">established; this doc does not re-derive them, it cites them. Every design choice</w:t>
      </w:r>
      <w:r>
        <w:t xml:space="preserve"> </w:t>
      </w:r>
      <w:r>
        <w:t xml:space="preserve">is grounded in a cited source (</w:t>
      </w:r>
      <w:r>
        <w:rPr>
          <w:rStyle w:val="VerbatimChar"/>
        </w:rPr>
        <w:t xml:space="preserve">## Sources verified 2026-07-10</w:t>
      </w:r>
      <w:r>
        <w:t xml:space="preserve">) or marked</w:t>
      </w:r>
      <w:r>
        <w:t xml:space="preserve"> </w:t>
      </w:r>
      <w:r>
        <w:t xml:space="preserve">“original work”</w:t>
      </w:r>
      <w:r>
        <w:t xml:space="preserve">. Every open choice is presented as a recommendation-with-tradeoffs</w:t>
      </w:r>
      <w:r>
        <w:t xml:space="preserve"> </w:t>
      </w:r>
      <w:r>
        <w:t xml:space="preserve">for operator decision — never a silent decision (§11.4.6).</w:t>
      </w:r>
    </w:p>
    <w:p>
      <w:r>
        <w:pict>
          <v:rect style="width:0;height:1.5pt" o:hralign="center" o:hrstd="t" o:hr="t"/>
        </w:pict>
      </w:r>
    </w:p>
    <w:bookmarkStart w:id="9" w:name="X6addc356f0ee1ff7ef131206f07f82b877b327f"/>
    <w:p>
      <w:pPr>
        <w:pStyle w:val="Heading2"/>
      </w:pPr>
      <w:r>
        <w:t xml:space="preserve">0. The one decision this doc anchors: tenancy model</w:t>
      </w:r>
    </w:p>
    <w:p>
      <w:pPr>
        <w:pStyle w:val="FirstParagraph"/>
      </w:pPr>
      <w:r>
        <w:t xml:space="preserve">Three canonical multi-tenant storage models exist (Microsoft Azure Architecture</w:t>
      </w:r>
      <w:r>
        <w:t xml:space="preserve"> </w:t>
      </w:r>
      <w:r>
        <w:t xml:space="preserve">Center; AWS; dasroot 2026):</w:t>
      </w:r>
      <w:r>
        <w:t xml:space="preserve"> </w:t>
      </w:r>
      <w:r>
        <w:rPr>
          <w:b/>
          <w:bCs/>
        </w:rPr>
        <w:t xml:space="preserve">(1) shared database + shared schema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column on every tenant-owned row and database-enforced</w:t>
      </w:r>
      <w:r>
        <w:t xml:space="preserve"> </w:t>
      </w:r>
      <w:r>
        <w:t xml:space="preserve">row scoping;</w:t>
      </w:r>
      <w:r>
        <w:t xml:space="preserve"> </w:t>
      </w:r>
      <w:r>
        <w:rPr>
          <w:b/>
          <w:bCs/>
        </w:rPr>
        <w:t xml:space="preserve">(2) schema-per-tenant</w:t>
      </w:r>
      <w:r>
        <w:t xml:space="preserve">;</w:t>
      </w:r>
      <w:r>
        <w:t xml:space="preserve"> </w:t>
      </w:r>
      <w:r>
        <w:rPr>
          <w:b/>
          <w:bCs/>
        </w:rPr>
        <w:t xml:space="preserve">(3) database-per-tenant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Ops cost</w:t>
            </w:r>
          </w:p>
        </w:tc>
        <w:tc>
          <w:tcPr/>
          <w:p>
            <w:pPr>
              <w:pStyle w:val="Compact"/>
            </w:pPr>
            <w:r>
              <w:t xml:space="preserve">Cross-tenant analytics</w:t>
            </w:r>
          </w:p>
        </w:tc>
        <w:tc>
          <w:tcPr/>
          <w:p>
            <w:pPr>
              <w:pStyle w:val="Compact"/>
            </w:pPr>
            <w:r>
              <w:t xml:space="preserve">Fit for Helix OTA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schema +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(+ RLS)</w:t>
            </w:r>
          </w:p>
        </w:tc>
        <w:tc>
          <w:tcPr/>
          <w:p>
            <w:pPr>
              <w:pStyle w:val="Compact"/>
            </w:pPr>
            <w:r>
              <w:t xml:space="preserve">Policy-enforced; a policy/where bug is a leak</w:t>
            </w:r>
          </w:p>
        </w:tc>
        <w:tc>
          <w:tcPr/>
          <w:p>
            <w:pPr>
              <w:pStyle w:val="Compact"/>
            </w:pPr>
            <w:r>
              <w:t xml:space="preserve">Lowest — one schema, one migration</w:t>
            </w:r>
          </w:p>
        </w:tc>
        <w:tc>
          <w:tcPr/>
          <w:p>
            <w:pPr>
              <w:pStyle w:val="Compact"/>
            </w:pPr>
            <w:r>
              <w:t xml:space="preserve">Trivial (one table)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</w:t>
            </w:r>
            <w:r>
              <w:t xml:space="preserve"> </w:t>
            </w:r>
            <w:r>
              <w:t xml:space="preserve">— matches ADR-0003</w:t>
            </w:r>
            <w:r>
              <w:t xml:space="preserve"> </w:t>
            </w:r>
            <w:r>
              <w:t xml:space="preserve">“modular monolith — one PostgreSQL schema”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001_initial_schema.up.sql:16</w:t>
            </w:r>
            <w:r>
              <w:t xml:space="preserve">) and the existing single-schema store (</w:t>
            </w:r>
            <w:r>
              <w:rPr>
                <w:rStyle w:val="VerbatimChar"/>
              </w:rPr>
              <w:t xml:space="preserve">schema_postgres.sql:11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Schema-per-tenant</w:t>
            </w:r>
          </w:p>
        </w:tc>
        <w:tc>
          <w:tcPr/>
          <w:p>
            <w:pPr>
              <w:pStyle w:val="Compact"/>
            </w:pPr>
            <w:r>
              <w:t xml:space="preserve">Strong; per-tenant customization</w:t>
            </w:r>
          </w:p>
        </w:tc>
        <w:tc>
          <w:tcPr/>
          <w:p>
            <w:pPr>
              <w:pStyle w:val="Compact"/>
            </w:pPr>
            <w:r>
              <w:t xml:space="preserve">Every migration ×N tenants</w:t>
            </w:r>
          </w:p>
        </w:tc>
        <w:tc>
          <w:tcPr/>
          <w:p>
            <w:pPr>
              <w:pStyle w:val="Compact"/>
            </w:pPr>
            <w:r>
              <w:t xml:space="preserve">Harder</w:t>
            </w:r>
          </w:p>
        </w:tc>
        <w:tc>
          <w:tcPr/>
          <w:p>
            <w:pPr>
              <w:pStyle w:val="Compact"/>
            </w:pPr>
            <w:r>
              <w:t xml:space="preserve">Overkill; no per-tenant schema customization is required by the mandate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Database-per-tenant</w:t>
            </w:r>
          </w:p>
        </w:tc>
        <w:tc>
          <w:tcPr/>
          <w:p>
            <w:pPr>
              <w:pStyle w:val="Compact"/>
            </w:pPr>
            <w:r>
              <w:t xml:space="preserve">Perfect; per-tenant residency</w:t>
            </w:r>
          </w:p>
        </w:tc>
        <w:tc>
          <w:tcPr/>
          <w:p>
            <w:pPr>
              <w:pStyle w:val="Compact"/>
            </w:pPr>
            <w:r>
              <w:t xml:space="preserve">N connection pools, N backups</w:t>
            </w:r>
          </w:p>
        </w:tc>
        <w:tc>
          <w:tcPr/>
          <w:p>
            <w:pPr>
              <w:pStyle w:val="Compact"/>
            </w:pPr>
            <w:r>
              <w:t xml:space="preserve">Hardest</w:t>
            </w:r>
          </w:p>
        </w:tc>
        <w:tc>
          <w:tcPr/>
          <w:p>
            <w:pPr>
              <w:pStyle w:val="Compact"/>
            </w:pPr>
            <w:r>
              <w:t xml:space="preserve">Reserve for a future compliance/residency tenant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(KEYSTONE): shared schema + a denormalized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 </w:t>
      </w:r>
      <w:r>
        <w:rPr>
          <w:b/>
          <w:bCs/>
        </w:rPr>
        <w:t xml:space="preserve">column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tenant-owned table, defended by PostgreSQL Row-Level Security (RLS) at the</w:t>
      </w:r>
      <w:r>
        <w:rPr>
          <w:b/>
          <w:bCs/>
        </w:rPr>
        <w:t xml:space="preserve"> </w:t>
      </w:r>
      <w:r>
        <w:rPr>
          <w:b/>
          <w:bCs/>
        </w:rPr>
        <w:t xml:space="preserve">pgx layer.</w:t>
      </w:r>
      <w:r>
        <w:t xml:space="preserve"> </w:t>
      </w:r>
      <w:r>
        <w:t xml:space="preserve">This is the industry default when tenant counts can grow and no</w:t>
      </w:r>
      <w:r>
        <w:t xml:space="preserve"> </w:t>
      </w:r>
      <w:r>
        <w:t xml:space="preserve">per-tenant schema customization is required (Microsoft, AWS, dasroot all recommend</w:t>
      </w:r>
      <w:r>
        <w:t xml:space="preserve"> </w:t>
      </w:r>
      <w:r>
        <w:t xml:space="preserve">shared-schema+RLS as the default; escalate only for compliance/residency). It also</w:t>
      </w:r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change to the shipped single-schema store.</w:t>
      </w:r>
    </w:p>
    <w:p>
      <w:pPr>
        <w:pStyle w:val="BodyText"/>
      </w:pPr>
      <w:r>
        <w:rPr>
          <w:b/>
          <w:bCs/>
        </w:rPr>
        <w:t xml:space="preserve">Tradeoff to accept:</w:t>
      </w:r>
      <w:r>
        <w:t xml:space="preserve"> </w:t>
      </w:r>
      <w:r>
        <w:t xml:space="preserve">isolation now depends on correct scoping + correct RLS</w:t>
      </w:r>
      <w:r>
        <w:t xml:space="preserve"> </w:t>
      </w:r>
      <w:r>
        <w:t xml:space="preserve">policies; a forgotten</w:t>
      </w:r>
      <w:r>
        <w:t xml:space="preserve"> </w:t>
      </w:r>
      <w:r>
        <w:rPr>
          <w:rStyle w:val="VerbatimChar"/>
        </w:rPr>
        <w:t xml:space="preserve">WHERE account_id = …</w:t>
      </w:r>
      <w:r>
        <w:t xml:space="preserve"> </w:t>
      </w:r>
      <w:r>
        <w:t xml:space="preserve">in application code would leak</w:t>
      </w:r>
      <w:r>
        <w:t xml:space="preserve"> </w:t>
      </w:r>
      <w:r>
        <w:t xml:space="preserve">cross-tenant — which is exactly why RLS (database-enforced,</w:t>
      </w:r>
      <w:r>
        <w:t xml:space="preserve"> </w:t>
      </w:r>
      <w:r>
        <w:t xml:space="preserve">“works even when your</w:t>
      </w:r>
      <w:r>
        <w:t xml:space="preserve"> </w:t>
      </w:r>
      <w:r>
        <w:t xml:space="preserve">application code has bugs”</w:t>
      </w:r>
      <w:r>
        <w:t xml:space="preserve"> </w:t>
      </w:r>
      <w:r>
        <w:t xml:space="preserve">— AWS) is the belt-and-suspenders second layer, and why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 </w:t>
      </w:r>
      <w:r>
        <w:t xml:space="preserve">must carry a paired mutation proving a non-scoped</w:t>
      </w:r>
      <w:r>
        <w:t xml:space="preserve"> </w:t>
      </w:r>
      <w:r>
        <w:t xml:space="preserve">session cannot read another account’s rows.</w:t>
      </w:r>
    </w:p>
    <w:p>
      <w:pPr>
        <w:pStyle w:val="BodyText"/>
      </w:pPr>
      <w:r>
        <w:rPr>
          <w:b/>
          <w:bCs/>
        </w:rPr>
        <w:t xml:space="preserve">Escalation path (operator decision, not now):</w:t>
      </w:r>
      <w:r>
        <w:t xml:space="preserve"> </w:t>
      </w:r>
      <w:r>
        <w:t xml:space="preserve">a single high-compliance tenant</w:t>
      </w:r>
      <w:r>
        <w:t xml:space="preserve"> </w:t>
      </w:r>
      <w:r>
        <w:t xml:space="preserve">that needs data residency or a separate backup schedule can later be promoted to</w:t>
      </w:r>
      <w:r>
        <w:t xml:space="preserve"> </w:t>
      </w:r>
      <w:r>
        <w:t xml:space="preserve">its own schema or database without changing the shared-schema code for everyone</w:t>
      </w:r>
      <w:r>
        <w:t xml:space="preserve"> </w:t>
      </w:r>
      <w:r>
        <w:t xml:space="preserve">else — 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seam is forward-compatible with a routing layer that maps</w:t>
      </w:r>
      <w:r>
        <w:t xml:space="preserve"> </w:t>
      </w:r>
      <w:r>
        <w:t xml:space="preserve">some accounts to isolated storage.</w:t>
      </w:r>
    </w:p>
    <w:p>
      <w:r>
        <w:pict>
          <v:rect style="width:0;height:1.5pt" o:hralign="center" o:hrstd="t" o:hr="t"/>
        </w:pict>
      </w:r>
    </w:p>
    <w:bookmarkEnd w:id="9"/>
    <w:bookmarkStart w:id="15" w:name="entities"/>
    <w:p>
      <w:pPr>
        <w:pStyle w:val="Heading2"/>
      </w:pPr>
      <w:r>
        <w:t xml:space="preserve">1. Entities</w:t>
      </w:r>
    </w:p>
    <w:p>
      <w:pPr>
        <w:pStyle w:val="FirstParagraph"/>
      </w:pPr>
      <w:r>
        <w:t xml:space="preserve">Four new/lifted entities. Id type is</w:t>
      </w:r>
      <w:r>
        <w:t xml:space="preserve"> </w:t>
      </w:r>
      <w:r>
        <w:rPr>
          <w:b/>
          <w:bCs/>
        </w:rPr>
        <w:t xml:space="preserve">opaque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to match the</w:t>
      </w:r>
      <w:r>
        <w:t xml:space="preserve"> </w:t>
      </w:r>
      <w:r>
        <w:rPr>
          <w:i/>
          <w:iCs/>
        </w:rPr>
        <w:t xml:space="preserve">shipped</w:t>
      </w:r>
      <w:r>
        <w:t xml:space="preserve"> </w:t>
      </w:r>
      <w:r>
        <w:t xml:space="preserve">store</w:t>
      </w:r>
      <w:r>
        <w:t xml:space="preserve"> </w:t>
      </w:r>
      <w:r>
        <w:t xml:space="preserve">convention (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artifact_id</w:t>
      </w:r>
      <w:r>
        <w:t xml:space="preserve"> </w:t>
      </w:r>
      <w:r>
        <w:t xml:space="preserve">are all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schema_postgres.sql:15,34,49,240</w:t>
      </w:r>
      <w:r>
        <w:t xml:space="preserve">), NOT the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used by the canonical</w:t>
      </w:r>
      <w:r>
        <w:t xml:space="preserve"> </w:t>
      </w:r>
      <w:r>
        <w:t xml:space="preserve">design-target migration (</w:t>
      </w:r>
      <w:r>
        <w:rPr>
          <w:rStyle w:val="VerbatimChar"/>
        </w:rPr>
        <w:t xml:space="preserve">001_initial_schema.up.sql:40</w:t>
      </w:r>
      <w:r>
        <w:t xml:space="preserve"> </w:t>
      </w:r>
      <w:r>
        <w:t xml:space="preserve">etc.).</w:t>
      </w:r>
    </w:p>
    <w:p>
      <w:pPr>
        <w:pStyle w:val="BlockText"/>
      </w:pPr>
      <w:r>
        <w:rPr>
          <w:b/>
          <w:bCs/>
        </w:rPr>
        <w:t xml:space="preserve">Divergence to reconcile (§11.4.186).</w:t>
      </w:r>
      <w:r>
        <w:t xml:space="preserve"> </w:t>
      </w:r>
      <w:r>
        <w:t xml:space="preserve">The shipped store (</w:t>
      </w:r>
      <w:r>
        <w:rPr>
          <w:rStyle w:val="VerbatimChar"/>
        </w:rPr>
        <w:t xml:space="preserve">schema_postgres.sql</w:t>
      </w:r>
      <w:r>
        <w:t xml:space="preserve">)</w:t>
      </w:r>
      <w:r>
        <w:t xml:space="preserve"> </w:t>
      </w:r>
      <w:r>
        <w:t xml:space="preserve">uses opaque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ids; the canonical target migration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001_initial_schema.up.sql</w:t>
      </w:r>
      <w:r>
        <w:t xml:space="preserve">) uses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and already declares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tables (10_* §3,</w:t>
      </w:r>
      <w:r>
        <w:t xml:space="preserve"> </w:t>
      </w:r>
      <w:r>
        <w:rPr>
          <w:rStyle w:val="VerbatimChar"/>
        </w:rPr>
        <w:t xml:space="preserve">001_initial_schema.up.sql:39-71</w:t>
      </w:r>
      <w:r>
        <w:t xml:space="preserve">) that were never carried into</w:t>
      </w:r>
      <w:r>
        <w:t xml:space="preserve"> </w:t>
      </w:r>
      <w:r>
        <w:t xml:space="preserve">the shipped store.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 </w:t>
      </w:r>
      <w:r>
        <w:t xml:space="preserve">seam (this design,</w:t>
      </w:r>
      <w:r>
        <w:t xml:space="preserve"> </w:t>
      </w:r>
      <w:r>
        <w:t xml:space="preserve">§3–§4) uses opaque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to mirror the store it actually extends; the canonical</w:t>
      </w:r>
      <w:r>
        <w:t xml:space="preserve"> </w:t>
      </w:r>
      <w:r>
        <w:rPr>
          <w:rStyle w:val="VerbatimChar"/>
        </w:rPr>
        <w:t xml:space="preserve">001</w:t>
      </w:r>
      <w:r>
        <w:t xml:space="preserve">-style schema keeps</w:t>
      </w:r>
      <w:r>
        <w:t xml:space="preserve"> </w:t>
      </w:r>
      <w:r>
        <w:rPr>
          <w:rStyle w:val="VerbatimChar"/>
        </w:rPr>
        <w:t xml:space="preserve">UUID</w:t>
      </w:r>
      <w:r>
        <w:t xml:space="preserve">. Both remain internally consistent; §4 states the</w:t>
      </w:r>
      <w:r>
        <w:t xml:space="preserve"> </w:t>
      </w:r>
      <w:r>
        <w:t xml:space="preserve">mapping so the two representations never silently diverge. Tradeoff: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ids</w:t>
      </w:r>
      <w:r>
        <w:t xml:space="preserve"> </w:t>
      </w:r>
      <w:r>
        <w:t xml:space="preserve">forgo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server-side generation (ids are minted app-side, as they</w:t>
      </w:r>
      <w:r>
        <w:t xml:space="preserve"> </w:t>
      </w:r>
      <w:r>
        <w:t xml:space="preserve">already are for projects/devices) — accepted, because it matches the existing</w:t>
      </w:r>
      <w:r>
        <w:t xml:space="preserve"> </w:t>
      </w:r>
      <w:r>
        <w:t xml:space="preserve">code and avoids a store-wide id-type migration.</w:t>
      </w:r>
    </w:p>
    <w:bookmarkStart w:id="10" w:name="account-the-tenant-top-of-the-tree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— the tenant (top of the tree)</w:t>
      </w:r>
    </w:p>
    <w:p>
      <w:pPr>
        <w:pStyle w:val="FirstParagraph"/>
      </w:pPr>
      <w:r>
        <w:t xml:space="preserve">The account is the top of the hierarchy</w:t>
      </w:r>
      <w:r>
        <w:t xml:space="preserve"> </w:t>
      </w:r>
      <w:r>
        <w:rPr>
          <w:rStyle w:val="VerbatimChar"/>
        </w:rPr>
        <w:t xml:space="preserve">account → projects → OTA updates</w:t>
      </w:r>
      <w:r>
        <w:t xml:space="preserve">. It has</w:t>
      </w:r>
      <w:r>
        <w:t xml:space="preserve"> </w:t>
      </w:r>
      <w:r>
        <w:t xml:space="preserve">no parent. Account-level identifiers are legitimately</w:t>
      </w:r>
      <w:r>
        <w:t xml:space="preserve"> </w:t>
      </w:r>
      <w:r>
        <w:rPr>
          <w:b/>
          <w:bCs/>
        </w:rPr>
        <w:t xml:space="preserve">global-unique</w:t>
      </w:r>
      <w:r>
        <w:t xml:space="preserve"> </w:t>
      </w:r>
      <w:r>
        <w:t xml:space="preserve">(accounts</w:t>
      </w:r>
      <w:r>
        <w:t xml:space="preserve"> </w:t>
      </w:r>
      <w:r>
        <w:t xml:space="preserve">ARE the tenant boundary, so there is no enclosing scope).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opaque, app-minted (mirrors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display name;</w:t>
            </w:r>
            <w:r>
              <w:t xml:space="preserve"> </w:t>
            </w:r>
            <w:r>
              <w:rPr>
                <w:b/>
                <w:bCs/>
              </w:rPr>
              <w:t xml:space="preserve">UNIQUE (global)</w:t>
            </w:r>
            <w:r>
              <w:t xml:space="preserve"> </w:t>
            </w:r>
            <w:r>
              <w:t xml:space="preserve">— one tenant per name in the super-admin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URL-/token-safe stable handle;</w:t>
            </w:r>
            <w:r>
              <w:t xml:space="preserve"> </w:t>
            </w:r>
            <w:r>
              <w:rPr>
                <w:b/>
                <w:bCs/>
              </w:rPr>
              <w:t xml:space="preserve">UNIQUE (global)</w:t>
            </w:r>
            <w:r>
              <w:t xml:space="preserve">; the stable key an account switcher / CLI selects by (§11.4.111 resolve-by-stable-name)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DEFAULT 'active'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 IN ('active','suspended','archived')</w:t>
            </w:r>
            <w:r>
              <w:t xml:space="preserve"> </w:t>
            </w:r>
            <w:r>
              <w:t xml:space="preserve">— suspend gates all sign-in/scoped access without deleting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 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PK: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</w:t>
      </w:r>
      <w:r>
        <w:t xml:space="preserve"> </w:t>
      </w:r>
      <w:r>
        <w:rPr>
          <w:b/>
          <w:bCs/>
        </w:rPr>
        <w:t xml:space="preserve">Unique: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(both global).</w:t>
      </w:r>
    </w:p>
    <w:p>
      <w:pPr>
        <w:pStyle w:val="Compact"/>
        <w:numPr>
          <w:ilvl w:val="0"/>
          <w:numId w:val="1001"/>
        </w:numPr>
      </w:pPr>
      <w:r>
        <w:t xml:space="preserve">Go type mirrors</w:t>
      </w:r>
      <w:r>
        <w:t xml:space="preserve"> </w:t>
      </w:r>
      <w:r>
        <w:rPr>
          <w:rStyle w:val="VerbatimChar"/>
        </w:rPr>
        <w:t xml:space="preserve">store.Project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store.go:289-295</w:t>
      </w:r>
      <w:r>
        <w:t xml:space="preserve">) one level up.</w:t>
      </w:r>
    </w:p>
    <w:bookmarkEnd w:id="10"/>
    <w:bookmarkStart w:id="11" w:name="user-persisted-identity-closes-the-3-gap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persisted identity (closes the §3 gap)</w:t>
      </w:r>
    </w:p>
    <w:p>
      <w:pPr>
        <w:pStyle w:val="FirstParagraph"/>
      </w:pPr>
      <w:r>
        <w:t xml:space="preserve">Today there is</w:t>
      </w:r>
      <w:r>
        <w:t xml:space="preserve"> </w:t>
      </w:r>
      <w:r>
        <w:rPr>
          <w:b/>
          <w:bCs/>
        </w:rPr>
        <w:t xml:space="preserve">no persisted user</w:t>
      </w:r>
      <w:r>
        <w:t xml:space="preserve"> </w:t>
      </w:r>
      <w:r>
        <w:t xml:space="preserve">— identity is the bare token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string</w:t>
      </w:r>
      <w:r>
        <w:t xml:space="preserve"> </w:t>
      </w:r>
      <w:r>
        <w:t xml:space="preserve">and an in-memory env-seeded map (10_* §3;</w:t>
      </w:r>
      <w:r>
        <w:t xml:space="preserve"> </w:t>
      </w:r>
      <w:r>
        <w:rPr>
          <w:rStyle w:val="VerbatimChar"/>
        </w:rPr>
        <w:t xml:space="preserve">token.go:32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users.go:8-48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main.go:96-104</w:t>
      </w:r>
      <w:r>
        <w:t xml:space="preserve">). This design persists the User the target migration already</w:t>
      </w:r>
      <w:r>
        <w:t xml:space="preserve"> </w:t>
      </w:r>
      <w:r>
        <w:t xml:space="preserve">sketched (</w:t>
      </w:r>
      <w:r>
        <w:rPr>
          <w:rStyle w:val="VerbatimChar"/>
        </w:rPr>
        <w:t xml:space="preserve">001_initial_schema.up.sql:39-51</w:t>
      </w:r>
      <w:r>
        <w:t xml:space="preserve">). A User is a</w:t>
      </w:r>
      <w:r>
        <w:t xml:space="preserve"> </w:t>
      </w:r>
      <w:r>
        <w:rPr>
          <w:b/>
          <w:bCs/>
        </w:rPr>
        <w:t xml:space="preserve">single global</w:t>
      </w:r>
      <w:r>
        <w:rPr>
          <w:b/>
          <w:bCs/>
        </w:rP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that can belong to many accounts (the mandate:</w:t>
      </w:r>
      <w:r>
        <w:t xml:space="preserve"> </w:t>
      </w:r>
      <w:r>
        <w:t xml:space="preserve">“users belong to one OR</w:t>
      </w:r>
      <w:r>
        <w:t xml:space="preserve"> </w:t>
      </w:r>
      <w:r>
        <w:t xml:space="preserve">more accounts”</w:t>
      </w:r>
      <w:r>
        <w:t xml:space="preserve">, 00_INDEX §1.3) — so user identifiers are global-unique and the</w:t>
      </w:r>
      <w:r>
        <w:t xml:space="preserve"> </w:t>
      </w:r>
      <w:r>
        <w:rPr>
          <w:i/>
          <w:iCs/>
        </w:rPr>
        <w:t xml:space="preserve">account relationship</w:t>
      </w:r>
      <w:r>
        <w:t xml:space="preserve"> </w:t>
      </w:r>
      <w:r>
        <w:t xml:space="preserve">lives in Membership (§1.3), not on the user row.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opaque, app-minted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login identity;</w:t>
            </w:r>
            <w:r>
              <w:t xml:space="preserve"> </w:t>
            </w:r>
            <w:r>
              <w:rPr>
                <w:b/>
                <w:bCs/>
              </w:rPr>
              <w:t xml:space="preserve">UNIQUE (global)</w:t>
            </w:r>
            <w:r>
              <w:t xml:space="preserve">; the value the token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resolves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(global)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credential hash only, never cleartext (mirrors target</w:t>
            </w:r>
            <w:r>
              <w:t xml:space="preserve"> </w:t>
            </w:r>
            <w:r>
              <w:rPr>
                <w:rStyle w:val="VerbatimChar"/>
              </w:rPr>
              <w:t xml:space="preserve">users.password_hash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001_initial_schema.up.sql:43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NOT NULL DEFAULT FALSE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global</w:t>
            </w:r>
            <w:r>
              <w:t xml:space="preserve"> </w:t>
            </w:r>
            <w:r>
              <w:t xml:space="preserve">super-admin flag (§6) — bypasses account scoping; set ONLY via config/env bootstrap, never a request (§11.4.10; 10_* 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NOT NULL DEFAULT TRUE</w:t>
            </w:r>
          </w:p>
        </w:tc>
        <w:tc>
          <w:tcPr/>
          <w:p>
            <w:pPr>
              <w:pStyle w:val="Compact"/>
            </w:pPr>
            <w:r>
              <w:t xml:space="preserve">disable without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 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PK: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  <w:r>
        <w:t xml:space="preserve"> </w:t>
      </w:r>
      <w:r>
        <w:rPr>
          <w:b/>
          <w:bCs/>
        </w:rPr>
        <w:t xml:space="preserve">Unique: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Resolves the CallerID ambiguity</w:t>
      </w:r>
      <w:r>
        <w:t xml:space="preserve"> </w:t>
      </w:r>
      <w:r>
        <w:t xml:space="preserve">(10_* §8 assumption 5): the token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(a username) resolves to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 memberships (§1.3) then attach roles per</w:t>
      </w:r>
      <w:r>
        <w:t xml:space="preserve"> </w:t>
      </w:r>
      <w:r>
        <w:t xml:space="preserve">account.</w:t>
      </w:r>
      <w:r>
        <w:t xml:space="preserve"> </w:t>
      </w:r>
      <w:r>
        <w:rPr>
          <w:rStyle w:val="VerbatimChar"/>
        </w:rPr>
        <w:t xml:space="preserve">ProjectAccess.CallerID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store.go:307-311</w:t>
      </w:r>
      <w:r>
        <w:t xml:space="preserve">) should migrate to reference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(reconciliation item, §2).</w:t>
      </w:r>
    </w:p>
    <w:bookmarkEnd w:id="11"/>
    <w:bookmarkStart w:id="12" w:name="membership-user-account-the-many-to-many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Membership</w:t>
      </w:r>
      <w:r>
        <w:t xml:space="preserve"> </w:t>
      </w:r>
      <w:r>
        <w:t xml:space="preserve">— user ↔ account (the many-to-many)</w:t>
      </w:r>
    </w:p>
    <w:p>
      <w:pPr>
        <w:pStyle w:val="FirstParagraph"/>
      </w:pPr>
      <w:r>
        <w:t xml:space="preserve">A user belongs to one OR more accounts (00_INDEX §1.3); an account has many users.</w:t>
      </w:r>
      <w:r>
        <w:t xml:space="preserve"> </w:t>
      </w:r>
      <w:r>
        <w:t xml:space="preserve">This is the direct generalization of the existing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(caller↔project↔role,</w:t>
      </w:r>
      <w:r>
        <w:t xml:space="preserve"> </w:t>
      </w:r>
      <w:r>
        <w:rPr>
          <w:rStyle w:val="VerbatimChar"/>
        </w:rPr>
        <w:t xml:space="preserve">store.go:306-311</w:t>
      </w:r>
      <w:r>
        <w:t xml:space="preserve">) lifted one level to</w:t>
      </w:r>
      <w:r>
        <w:t xml:space="preserve"> </w:t>
      </w:r>
      <w:r>
        <w:t xml:space="preserve">account↔user↔role. It is the table the WorkOS multi-tenant RBAC model calls the</w:t>
      </w:r>
      <w:r>
        <w:t xml:space="preserve"> </w:t>
      </w:r>
      <w:r>
        <w:t xml:space="preserve">membership join (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(user_id, tenant_id, role_id)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accounts(account_id)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DEFAULT 'viewer'</w:t>
            </w:r>
          </w:p>
        </w:tc>
        <w:tc>
          <w:tcPr/>
          <w:p>
            <w:pPr>
              <w:pStyle w:val="Compact"/>
            </w:pPr>
            <w:r>
              <w:t xml:space="preserve">per-account role (§1.4);</w:t>
            </w:r>
            <w:r>
              <w:t xml:space="preserve"> </w:t>
            </w:r>
            <w:r>
              <w:rPr>
                <w:rStyle w:val="VerbatimChar"/>
              </w:rPr>
              <w:t xml:space="preserve">CHECK IN ('viewer','operator','admin')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NOT NULL DEFAULT FALSE</w:t>
            </w:r>
          </w:p>
        </w:tc>
        <w:tc>
          <w:tcPr/>
          <w:p>
            <w:pPr>
              <w:pStyle w:val="Compact"/>
            </w:pPr>
            <w:r>
              <w:t xml:space="preserve">the account’s owner (the membership minted at bootstrap, §3.3); at most one owner per account is a policy</w:t>
            </w:r>
            <w:r>
              <w:t xml:space="preserve"> </w:t>
            </w:r>
            <w:r>
              <w:rPr>
                <w:rStyle w:val="VerbatimChar"/>
              </w:rPr>
              <w:t xml:space="preserve">21_*</w:t>
            </w:r>
            <w:r>
              <w:t xml:space="preserve"> </w:t>
            </w:r>
            <w:r>
              <w:t xml:space="preserve">decides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DEFAULT ''</w:t>
            </w:r>
          </w:p>
        </w:tc>
        <w:tc>
          <w:tcPr/>
          <w:p>
            <w:pPr>
              <w:pStyle w:val="Compact"/>
            </w:pPr>
            <w:r>
              <w:t xml:space="preserve">granting user_id (super-admin or account admin)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PK:</w:t>
      </w:r>
      <w:r>
        <w:t xml:space="preserve"> </w:t>
      </w:r>
      <w:r>
        <w:t xml:space="preserve">composite</w:t>
      </w:r>
      <w:r>
        <w:t xml:space="preserve"> </w:t>
      </w:r>
      <w:r>
        <w:rPr>
          <w:rStyle w:val="VerbatimChar"/>
        </w:rPr>
        <w:t xml:space="preserve">(user_id, account_id)</w:t>
      </w:r>
      <w:r>
        <w:t xml:space="preserve"> </w:t>
      </w:r>
      <w:r>
        <w:t xml:space="preserve">— one membership row per (user, account);</w:t>
      </w:r>
      <w:r>
        <w:t xml:space="preserve"> </w:t>
      </w:r>
      <w:r>
        <w:t xml:space="preserve">a user in N accounts has N rows.</w:t>
      </w:r>
      <w:r>
        <w:t xml:space="preserve"> </w:t>
      </w:r>
      <w:r>
        <w:rPr>
          <w:b/>
          <w:bCs/>
        </w:rPr>
        <w:t xml:space="preserve">Role is per-account</w:t>
      </w:r>
      <w:r>
        <w:t xml:space="preserve">, so the same user can be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in account A 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in account B (WorkOS:</w:t>
      </w:r>
      <w:r>
        <w:t xml:space="preserve"> </w:t>
      </w:r>
      <w:r>
        <w:t xml:space="preserve">“the same user may hold</w:t>
      </w:r>
      <w:r>
        <w:t xml:space="preserve"> </w:t>
      </w:r>
      <w:r>
        <w:t xml:space="preserve">different roles in different contexts”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Go type:</w:t>
      </w:r>
      <w:r>
        <w:t xml:space="preserve"> </w:t>
      </w:r>
      <w:r>
        <w:rPr>
          <w:rStyle w:val="VerbatimChar"/>
        </w:rPr>
        <w:t xml:space="preserve">AccountMembership{AccountID, UserID string; Role AccountRole; IsOwner bool}</w:t>
      </w:r>
      <w:r>
        <w:t xml:space="preserve">.</w:t>
      </w:r>
    </w:p>
    <w:bookmarkEnd w:id="12"/>
    <w:bookmarkStart w:id="13" w:name="X1d19fc2db3c6baaf996f9e57fe86edce1e45e36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— the per-account authorization vocabulary</w:t>
      </w:r>
    </w:p>
    <w:p>
      <w:pPr>
        <w:pStyle w:val="FirstParagraph"/>
      </w:pPr>
      <w:r>
        <w:t xml:space="preserve">The mandate asks for</w:t>
      </w:r>
      <w:r>
        <w:t xml:space="preserve"> </w:t>
      </w:r>
      <w:r>
        <w:t xml:space="preserve">“ultimate flexibility to the maximum”</w:t>
      </w:r>
      <w:r>
        <w:t xml:space="preserve"> </w:t>
      </w:r>
      <w:r>
        <w:t xml:space="preserve">(00_INDEX §1.6), but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permission model (RBAC vs ABAC vs role+scope hybrid) is</w:t>
      </w:r>
      <w:r>
        <w:t xml:space="preserve"> </w:t>
      </w:r>
      <w:r>
        <w:rPr>
          <w:b/>
          <w:bCs/>
        </w:rPr>
        <w:t xml:space="preserve">OQ-2,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 owned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21_authz_rbac_superadmin.md</w:t>
      </w:r>
      <w:r>
        <w:t xml:space="preserve"> </w:t>
      </w:r>
      <w:r>
        <w:t xml:space="preserve">(00_INDEX §5). This keystone</w:t>
      </w:r>
      <w:r>
        <w:t xml:space="preserve"> </w:t>
      </w:r>
      <w:r>
        <w:t xml:space="preserve">doc models only the minimal role skeleton the data layer needs and reserves the</w:t>
      </w:r>
      <w:r>
        <w:t xml:space="preserve"> </w:t>
      </w:r>
      <w:r>
        <w:t xml:space="preserve">richer path so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can land it without a second data-model change.</w:t>
      </w:r>
    </w:p>
    <w:p>
      <w:pPr>
        <w:pStyle w:val="BodyText"/>
      </w:pPr>
      <w:r>
        <w:rPr>
          <w:b/>
          <w:bCs/>
        </w:rPr>
        <w:t xml:space="preserve">Recommendation for THIS doc (defer full shape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21_*</w:t>
      </w:r>
      <w:r>
        <w:rPr>
          <w:b/>
          <w:bCs/>
        </w:rPr>
        <w:t xml:space="preserve">):</w:t>
      </w:r>
      <w:r>
        <w:t xml:space="preserve"> </w:t>
      </w:r>
      <w:r>
        <w:t xml:space="preserve">ship the fixed</w:t>
      </w:r>
      <w:r>
        <w:t xml:space="preserve"> </w:t>
      </w:r>
      <w:r>
        <w:t xml:space="preserve">per-account role enum on</w:t>
      </w:r>
      <w:r>
        <w:t xml:space="preserve"> </w:t>
      </w:r>
      <w:r>
        <w:rPr>
          <w:rStyle w:val="VerbatimChar"/>
        </w:rPr>
        <w:t xml:space="preserve">Membership.role</w:t>
      </w:r>
      <w:r>
        <w:t xml:space="preserve"> </w:t>
      </w:r>
      <w:r>
        <w:t xml:space="preserve">now, mirroring the existing</w:t>
      </w:r>
      <w:r>
        <w:t xml:space="preserve"> </w:t>
      </w:r>
      <w:r>
        <w:rPr>
          <w:rStyle w:val="VerbatimChar"/>
        </w:rPr>
        <w:t xml:space="preserve">ProjectRole</w:t>
      </w:r>
      <w:r>
        <w:t xml:space="preserve"> </w:t>
      </w:r>
      <w:r>
        <w:t xml:space="preserve">hierarchy</w:t>
      </w:r>
      <w:r>
        <w:t xml:space="preserve"> </w:t>
      </w:r>
      <w:r>
        <w:rPr>
          <w:rStyle w:val="VerbatimChar"/>
        </w:rPr>
        <w:t xml:space="preserve">viewer &lt; operator &lt;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store.go:297-304</w:t>
      </w:r>
      <w:r>
        <w:t xml:space="preserve">) so the</w:t>
      </w:r>
      <w:r>
        <w:t xml:space="preserve"> </w:t>
      </w:r>
      <w:r>
        <w:t xml:space="preserve">existing rank-compare tooling (</w:t>
      </w:r>
      <w:r>
        <w:rPr>
          <w:rStyle w:val="VerbatimChar"/>
        </w:rPr>
        <w:t xml:space="preserve">handlers_project.go:78-92</w:t>
      </w:r>
      <w:r>
        <w:t xml:space="preserve">) reuses unchanged.</w:t>
      </w:r>
      <w:r>
        <w:t xml:space="preserve"> </w:t>
      </w:r>
      <w:r>
        <w:rPr>
          <w:rStyle w:val="VerbatimChar"/>
        </w:rPr>
        <w:t xml:space="preserve">AccountRole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viewer &lt; operator &lt; admin</w:t>
      </w:r>
      <w:r>
        <w:t xml:space="preserve">, distinct from but structurally</w:t>
      </w:r>
      <w:r>
        <w:t xml:space="preserve"> </w:t>
      </w:r>
      <w:r>
        <w:t xml:space="preserve">identical to</w:t>
      </w:r>
      <w:r>
        <w:t xml:space="preserve"> </w:t>
      </w:r>
      <w:r>
        <w:rPr>
          <w:rStyle w:val="VerbatimChar"/>
        </w:rPr>
        <w:t xml:space="preserve">ProjectRole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Reserved</w:t>
      </w:r>
      <w:r>
        <w:rPr>
          <w:b/>
          <w:bCs/>
        </w:rPr>
        <w:t xml:space="preserve"> </w:t>
      </w:r>
      <w:r>
        <w:rPr>
          <w:b/>
          <w:bCs/>
        </w:rPr>
        <w:t xml:space="preserve">“max-flexibility”</w:t>
      </w:r>
      <w:r>
        <w:rPr>
          <w:b/>
          <w:bCs/>
        </w:rPr>
        <w:t xml:space="preserve"> </w:t>
      </w:r>
      <w:r>
        <w:rPr>
          <w:b/>
          <w:bCs/>
        </w:rPr>
        <w:t xml:space="preserve">path (roles/permissions tables),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21_*</w:t>
      </w:r>
      <w:r>
        <w:rPr>
          <w:b/>
          <w:bCs/>
        </w:rPr>
        <w:t xml:space="preserve"> </w:t>
      </w:r>
      <w:r>
        <w:rPr>
          <w:b/>
          <w:bCs/>
        </w:rPr>
        <w:t xml:space="preserve">chooses it:</w:t>
      </w:r>
      <w:r>
        <w:t xml:space="preserve"> </w:t>
      </w:r>
      <w:r>
        <w:t xml:space="preserve">a tenant-scoped RBAC set —</w:t>
      </w:r>
      <w:r>
        <w:t xml:space="preserve"> </w:t>
      </w:r>
      <w:r>
        <w:rPr>
          <w:rStyle w:val="VerbatimChar"/>
        </w:rPr>
        <w:t xml:space="preserve">roles(role_id, account_id, name, UNIQUE(account_id,name))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permissions(permission_id, action, resource)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role_permissions(role_id, permission_id)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Membership.role</w:t>
      </w:r>
      <w:r>
        <w:t xml:space="preserve"> </w:t>
      </w:r>
      <w:r>
        <w:t xml:space="preserve">becoming a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FK — the</w:t>
      </w:r>
      <w:r>
        <w:t xml:space="preserve"> </w:t>
      </w:r>
      <w:r>
        <w:t xml:space="preserve">“hybrid/templates”</w:t>
      </w:r>
      <w:r>
        <w:t xml:space="preserve"> </w:t>
      </w:r>
      <w:r>
        <w:t xml:space="preserve">model WorkOS recommends (default roles + per-</w:t>
      </w:r>
      <w:r>
        <w:t xml:space="preserve"> </w:t>
      </w:r>
      <w:r>
        <w:t xml:space="preserve">tenant customization).</w:t>
      </w:r>
      <w:r>
        <w:t xml:space="preserve"> </w:t>
      </w:r>
      <w:r>
        <w:rPr>
          <w:b/>
          <w:bCs/>
        </w:rPr>
        <w:t xml:space="preserve">Tradeoff:</w:t>
      </w:r>
      <w:r>
        <w:t xml:space="preserve"> </w:t>
      </w:r>
      <w:r>
        <w:t xml:space="preserve">fixed-enum is simplest and reuses existing</w:t>
      </w:r>
      <w:r>
        <w:t xml:space="preserve"> </w:t>
      </w:r>
      <w:r>
        <w:t xml:space="preserve">tooling but caps flexibility at three roles; the roles/permissions tables give the</w:t>
      </w:r>
      <w:r>
        <w:t xml:space="preserve"> </w:t>
      </w:r>
      <w:r>
        <w:t xml:space="preserve">mandated</w:t>
      </w:r>
      <w:r>
        <w:t xml:space="preserve"> </w:t>
      </w:r>
      <w:r>
        <w:t xml:space="preserve">“ultimate flexibility”</w:t>
      </w:r>
      <w:r>
        <w:t xml:space="preserve"> </w:t>
      </w:r>
      <w:r>
        <w:t xml:space="preserve">at the cost of a role-resolution join on every</w:t>
      </w:r>
      <w:r>
        <w:t xml:space="preserve"> </w:t>
      </w:r>
      <w:r>
        <w:t xml:space="preserve">authZ check. Presented for</w:t>
      </w:r>
      <w:r>
        <w:t xml:space="preserve"> </w:t>
      </w:r>
      <w:r>
        <w:rPr>
          <w:rStyle w:val="VerbatimChar"/>
        </w:rPr>
        <w:t xml:space="preserve">21_*</w:t>
      </w:r>
      <w:r>
        <w:t xml:space="preserve">; §4 emits the fixed-enum column now + the</w:t>
      </w:r>
      <w:r>
        <w:t xml:space="preserve"> </w:t>
      </w:r>
      <w:r>
        <w:t xml:space="preserve">reserved tables as commented DDL so either path is a pure additive migration.</w:t>
      </w:r>
    </w:p>
    <w:bookmarkEnd w:id="13"/>
    <w:bookmarkStart w:id="14" w:name="how-account-sits-above-project"/>
    <w:p>
      <w:pPr>
        <w:pStyle w:val="Heading3"/>
      </w:pPr>
      <w:r>
        <w:t xml:space="preserve">1.5 How Account sits ABOVE Project</w:t>
      </w:r>
    </w:p>
    <w:p>
      <w:pPr>
        <w:pStyle w:val="SourceCode"/>
      </w:pPr>
      <w:r>
        <w:rPr>
          <w:rStyle w:val="VerbatimChar"/>
        </w:rPr>
        <w:t xml:space="preserve">Account (tenant)                       accounts</w:t>
      </w:r>
      <w:r>
        <w:br/>
      </w:r>
      <w:r>
        <w:rPr>
          <w:rStyle w:val="VerbatimChar"/>
        </w:rPr>
        <w:t xml:space="preserve">  └─ Project (add account_id FK)       projects.account_id → accounts</w:t>
      </w:r>
      <w:r>
        <w:br/>
      </w:r>
      <w:r>
        <w:rPr>
          <w:rStyle w:val="VerbatimChar"/>
        </w:rPr>
        <w:t xml:space="preserve">       └─ OTA updates:                 (each carries account_id [RLS key] + project_id)</w:t>
      </w:r>
      <w:r>
        <w:br/>
      </w:r>
      <w:r>
        <w:rPr>
          <w:rStyle w:val="VerbatimChar"/>
        </w:rPr>
        <w:t xml:space="preserve">            Artifact, Release,</w:t>
      </w:r>
      <w:r>
        <w:br/>
      </w:r>
      <w:r>
        <w:rPr>
          <w:rStyle w:val="VerbatimChar"/>
        </w:rPr>
        <w:t xml:space="preserve">            Deployment, Device,</w:t>
      </w:r>
      <w:r>
        <w:br/>
      </w:r>
      <w:r>
        <w:rPr>
          <w:rStyle w:val="VerbatimChar"/>
        </w:rPr>
        <w:t xml:space="preserve">            Group, Telemetry</w:t>
      </w:r>
    </w:p>
    <w:p>
      <w:pPr>
        <w:pStyle w:val="FirstParagraph"/>
      </w:pPr>
      <w:r>
        <w:t xml:space="preserve">The as-is gap (10_* §4): projects are</w:t>
      </w:r>
      <w:r>
        <w:t xml:space="preserve"> </w:t>
      </w:r>
      <w:r>
        <w:rPr>
          <w:b/>
          <w:bCs/>
        </w:rPr>
        <w:t xml:space="preserve">empty containers</w:t>
      </w:r>
      <w:r>
        <w:t xml:space="preserve"> </w:t>
      </w:r>
      <w:r>
        <w:t xml:space="preserve">— Device/Artifact/</w:t>
      </w:r>
      <w:r>
        <w:t xml:space="preserve"> </w:t>
      </w:r>
      <w:r>
        <w:t xml:space="preserve">Release/Deployment/Telemetry/Group carry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ProjectID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store.go:36-178</w:t>
      </w:r>
      <w:r>
        <w:t xml:space="preserve">), so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account → projects → OTA updates</w:t>
      </w:r>
      <w:r>
        <w:t xml:space="preserve"> </w:t>
      </w:r>
      <w:r>
        <w:t xml:space="preserve">link is entirely absent below the project</w:t>
      </w:r>
      <w:r>
        <w:t xml:space="preserve"> </w:t>
      </w:r>
      <w:r>
        <w:t xml:space="preserve">row. §2 adds it.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scoping-the-existing-ota-model"/>
    <w:p>
      <w:pPr>
        <w:pStyle w:val="Heading2"/>
      </w:pPr>
      <w:r>
        <w:t xml:space="preserve">2. Scoping the existing OTA model</w:t>
      </w:r>
    </w:p>
    <w:p>
      <w:pPr>
        <w:pStyle w:val="FirstParagraph"/>
      </w:pPr>
      <w:r>
        <w:rPr>
          <w:b/>
          <w:bCs/>
        </w:rPr>
        <w:t xml:space="preserve">Design rule (from §0 recommendation + AWS RLS best practice):</w:t>
      </w:r>
      <w:r>
        <w:t xml:space="preserve"> </w:t>
      </w:r>
      <w:r>
        <w:t xml:space="preserve">every tenant-owned</w:t>
      </w:r>
      <w:r>
        <w:t xml:space="preserve"> </w:t>
      </w:r>
      <w:r>
        <w:t xml:space="preserve">table gets a</w:t>
      </w:r>
      <w:r>
        <w:t xml:space="preserve"> </w:t>
      </w:r>
      <w:r>
        <w:rPr>
          <w:b/>
          <w:bCs/>
        </w:rPr>
        <w:t xml:space="preserve">denormalized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 </w:t>
      </w:r>
      <w:r>
        <w:rPr>
          <w:b/>
          <w:bCs/>
        </w:rPr>
        <w:t xml:space="preserve">(NOT NULL, the RLS scoping key,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leading column of its primary access index</w:t>
      </w:r>
      <w:r>
        <w:t xml:space="preserve"> </w:t>
      </w:r>
      <w:r>
        <w:t xml:space="preserve">— AWS:</w:t>
      </w:r>
      <w:r>
        <w:t xml:space="preserve"> </w:t>
      </w:r>
      <w:r>
        <w:t xml:space="preserve">“every table with an RLS policy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as the leading column in its primary access indexes”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(the true mid-tier parent).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is denormalized onto each</w:t>
      </w:r>
      <w:r>
        <w:t xml:space="preserve"> </w:t>
      </w:r>
      <w:r>
        <w:t xml:space="preserve">resource rather than reached only via</w:t>
      </w:r>
      <w:r>
        <w:t xml:space="preserve"> </w:t>
      </w:r>
      <w:r>
        <w:rPr>
          <w:rStyle w:val="VerbatimChar"/>
        </w:rPr>
        <w:t xml:space="preserve">project_id → account_id</w:t>
      </w:r>
      <w:r>
        <w:t xml:space="preserve"> </w:t>
      </w:r>
      <w:r>
        <w:t xml:space="preserve">because RLS</w:t>
      </w:r>
      <w:r>
        <w:t xml:space="preserve"> </w:t>
      </w:r>
      <w:r>
        <w:t xml:space="preserve">policies and the hot scoping filter must not pay a join on every row.</w:t>
      </w:r>
    </w:p>
    <w:p>
      <w:pPr>
        <w:pStyle w:val="BodyText"/>
      </w:pPr>
      <w:r>
        <w:rPr>
          <w:b/>
          <w:bCs/>
        </w:rPr>
        <w:t xml:space="preserve">Tradeoff of the denormalization:</w:t>
      </w:r>
      <w:r>
        <w:t xml:space="preserve"> </w:t>
      </w:r>
      <w:r>
        <w:rPr>
          <w:rStyle w:val="VerbatimChar"/>
        </w:rPr>
        <w:t xml:space="preserve">resource.account_id</w:t>
      </w:r>
      <w:r>
        <w:t xml:space="preserve"> </w:t>
      </w:r>
      <w:r>
        <w:t xml:space="preserve">must always equal</w:t>
      </w:r>
      <w:r>
        <w:t xml:space="preserve"> </w:t>
      </w:r>
      <w:r>
        <w:rPr>
          <w:rStyle w:val="VerbatimChar"/>
        </w:rPr>
        <w:t xml:space="preserve">project.account_id</w:t>
      </w:r>
      <w:r>
        <w:t xml:space="preserve">. Enforce with a</w:t>
      </w:r>
      <w:r>
        <w:t xml:space="preserve"> </w:t>
      </w:r>
      <w:r>
        <w:rPr>
          <w:b/>
          <w:bCs/>
        </w:rPr>
        <w:t xml:space="preserve">composite FK</w:t>
      </w:r>
      <w:r>
        <w:t xml:space="preserve"> </w:t>
      </w:r>
      <w:r>
        <w:rPr>
          <w:rStyle w:val="VerbatimChar"/>
        </w:rPr>
        <w:t xml:space="preserve">(project_id, account_id) REFERENCES projects(project_id, account_id)</w:t>
      </w:r>
      <w:r>
        <w:t xml:space="preserve"> </w:t>
      </w:r>
      <w:r>
        <w:t xml:space="preserve">(requires a</w:t>
      </w:r>
      <w:r>
        <w:t xml:space="preserve"> </w:t>
      </w:r>
      <w:r>
        <w:rPr>
          <w:rStyle w:val="VerbatimChar"/>
        </w:rPr>
        <w:t xml:space="preserve">UNIQUE(project_id, account_id)</w:t>
      </w:r>
      <w:r>
        <w:t xml:space="preserve"> </w:t>
      </w:r>
      <w:r>
        <w:t xml:space="preserve">on projects) so the database — not application discipline — guarantees</w:t>
      </w:r>
      <w:r>
        <w:t xml:space="preserve"> </w:t>
      </w:r>
      <w:r>
        <w:t xml:space="preserve">the two never drift. Alternative (a trigger) is weaker; the composite FK is</w:t>
      </w:r>
      <w:r>
        <w:t xml:space="preserve"> </w:t>
      </w:r>
      <w:r>
        <w:t xml:space="preserve">“original work”</w:t>
      </w:r>
      <w:r>
        <w:t xml:space="preserve"> </w:t>
      </w:r>
      <w:r>
        <w:t xml:space="preserve">applied to this schema and is the recommended enforcement.</w:t>
      </w:r>
    </w:p>
    <w:bookmarkStart w:id="16" w:name="per-entity-column-plan"/>
    <w:p>
      <w:pPr>
        <w:pStyle w:val="Heading3"/>
      </w:pPr>
      <w:r>
        <w:t xml:space="preserve">2.1 Per-entity column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(struct / table)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Nullability</w:t>
            </w:r>
          </w:p>
        </w:tc>
        <w:tc>
          <w:tcPr/>
          <w:p>
            <w:pPr>
              <w:pStyle w:val="Compact"/>
            </w:pPr>
            <w:r>
              <w:t xml:space="preserve">Migration / backfill implication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store.go:289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rPr>
                <w:rStyle w:val="VerbatimChar"/>
              </w:rPr>
              <w:t xml:space="preserve">schema_postgres.sql:239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(it is the mid-tier, not the top)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rPr>
                <w:b/>
                <w:bCs/>
              </w:rPr>
              <w:t xml:space="preserve">NOT NULL</w:t>
            </w:r>
            <w:r>
              <w:t xml:space="preserve"> </w:t>
            </w:r>
            <w:r>
              <w:t xml:space="preserve">after backfill</w:t>
            </w:r>
          </w:p>
        </w:tc>
        <w:tc>
          <w:tcPr/>
          <w:p>
            <w:pPr>
              <w:pStyle w:val="Compact"/>
            </w:pPr>
            <w:r>
              <w:t xml:space="preserve">backfill every existing project to the default account (§5)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store.go:36-*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 </w:t>
            </w:r>
            <w:r>
              <w:rPr>
                <w:rStyle w:val="VerbatimChar"/>
              </w:rPr>
              <w:t xml:space="preserve">:14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rPr>
                <w:b/>
                <w:bCs/>
              </w:rPr>
              <w:t xml:space="preserve">NOT 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rPr>
                <w:b/>
                <w:bCs/>
              </w:rPr>
              <w:t xml:space="preserve">NULL-until-assigned</w:t>
            </w:r>
            <w:r>
              <w:t xml:space="preserve"> </w:t>
            </w:r>
            <w:r>
              <w:t xml:space="preserve">(a device may register to an account before project assignment)</w:t>
            </w:r>
          </w:p>
        </w:tc>
        <w:tc>
          <w:tcPr/>
          <w:p>
            <w:pPr>
              <w:pStyle w:val="Compact"/>
            </w:pPr>
            <w:r>
              <w:t xml:space="preserve">backfill account;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may stay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artifacts</w:t>
            </w:r>
            <w:r>
              <w:t xml:space="preserve"> </w:t>
            </w:r>
            <w:r>
              <w:rPr>
                <w:rStyle w:val="VerbatimChar"/>
              </w:rPr>
              <w:t xml:space="preserve">:33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NOT NULL</w:t>
            </w:r>
            <w:r>
              <w:t xml:space="preserve"> </w:t>
            </w:r>
            <w:r>
              <w:t xml:space="preserve">after backfill (artifacts are uploaded within a project)</w:t>
            </w:r>
          </w:p>
        </w:tc>
        <w:tc>
          <w:tcPr/>
          <w:p>
            <w:pPr>
              <w:pStyle w:val="Compact"/>
            </w:pPr>
            <w:r>
              <w:t xml:space="preserve">backfill account + a default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releases</w:t>
            </w:r>
            <w:r>
              <w:t xml:space="preserve"> </w:t>
            </w:r>
            <w:r>
              <w:rPr>
                <w:rStyle w:val="VerbatimChar"/>
              </w:rPr>
              <w:t xml:space="preserve">:47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scopes the monotonicity key (§2.2 #3)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deployments</w:t>
            </w:r>
            <w:r>
              <w:t xml:space="preserve"> </w:t>
            </w:r>
            <w:r>
              <w:rPr>
                <w:rStyle w:val="VerbatimChar"/>
              </w:rPr>
              <w:t xml:space="preserve">:61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scopes the active-uniqueness key (§2.2 #4)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TelemetryRecord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telemetry_events</w:t>
            </w:r>
            <w:r>
              <w:t xml:space="preserve"> </w:t>
            </w:r>
            <w:r>
              <w:rPr>
                <w:rStyle w:val="VerbatimChar"/>
              </w:rPr>
              <w:t xml:space="preserve">:73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inherit via device/deployment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rPr>
                <w:b/>
                <w:bCs/>
              </w:rPr>
              <w:t xml:space="preserve">NOT 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rPr>
                <w:b/>
                <w:bCs/>
              </w:rP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derive from the referenced device/deployment at write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device_groups</w:t>
            </w:r>
            <w:r>
              <w:t xml:space="preserve"> </w:t>
            </w:r>
            <w:r>
              <w:rPr>
                <w:rStyle w:val="VerbatimChar"/>
              </w:rPr>
              <w:t xml:space="preserve">:96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rPr>
                <w:b/>
                <w:bCs/>
              </w:rPr>
              <w:t xml:space="preserve">NOT 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rPr>
                <w:b/>
                <w:bCs/>
              </w:rPr>
              <w:t xml:space="preserve">NULLABLE</w:t>
            </w:r>
            <w:r>
              <w:t xml:space="preserve"> </w:t>
            </w:r>
            <w:r>
              <w:t xml:space="preserve">(a group may be account-wide)</w:t>
            </w:r>
          </w:p>
        </w:tc>
        <w:tc>
          <w:tcPr/>
          <w:p>
            <w:pPr>
              <w:pStyle w:val="Compact"/>
            </w:pPr>
            <w:r>
              <w:t xml:space="preserve">name becomes unique-per-account (§2.2 #6)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rPr>
                <w:rStyle w:val="VerbatimChar"/>
              </w:rPr>
              <w:t xml:space="preserve">:115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store.go:123-134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populate from the resolved account/project context; also finally populate the always-empty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(10_* §6,</w:t>
            </w:r>
            <w:r>
              <w:t xml:space="preserve"> </w:t>
            </w:r>
            <w:r>
              <w:rPr>
                <w:rStyle w:val="VerbatimChar"/>
              </w:rPr>
              <w:t xml:space="preserve">audit_wire.go:41-43</w:t>
            </w:r>
            <w:r>
              <w:t xml:space="preserve">)</w:t>
            </w:r>
          </w:p>
        </w:tc>
      </w:tr>
    </w:tbl>
    <w:bookmarkEnd w:id="16"/>
    <w:bookmarkStart w:id="17" w:name="X57b725745fd51a2b876580d5d37f569e7815e33"/>
    <w:p>
      <w:pPr>
        <w:pStyle w:val="Heading3"/>
      </w:pPr>
      <w:r>
        <w:t xml:space="preserve">2.2 The 7 single-global-tenant assumptions (10_* §8) → account-scoped</w:t>
      </w:r>
    </w:p>
    <w:p>
      <w:pPr>
        <w:pStyle w:val="FirstParagraph"/>
      </w:pPr>
      <w:r>
        <w:t xml:space="preserve">Each global uniqueness/latest key becomes account- (and where relevant project-)</w:t>
      </w:r>
      <w:r>
        <w:t xml:space="preserve"> </w:t>
      </w:r>
      <w:r>
        <w:t xml:space="preserve">scoped: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 name globally unique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schema_postgres.sql:241</w:t>
      </w:r>
      <w:r>
        <w:t xml:space="preserve">;</w:t>
      </w:r>
      <w:r>
        <w:t xml:space="preserve"> </w:t>
      </w:r>
      <w:r>
        <w:rPr>
          <w:rStyle w:val="VerbatimChar"/>
        </w:rPr>
        <w:t xml:space="preserve">memory.go:39</w:t>
      </w:r>
      <w:r>
        <w:t xml:space="preserve"> </w:t>
      </w:r>
      <w:r>
        <w:rPr>
          <w:rStyle w:val="VerbatimChar"/>
        </w:rPr>
        <w:t xml:space="preserve">prjByName</w:t>
      </w:r>
      <w:r>
        <w:t xml:space="preserve">) →</w:t>
      </w:r>
      <w:r>
        <w:t xml:space="preserve"> </w:t>
      </w:r>
      <w:r>
        <w:rPr>
          <w:rStyle w:val="VerbatimChar"/>
          <w:b/>
          <w:bCs/>
        </w:rPr>
        <w:t xml:space="preserve">UNIQUE (account_id, name)</w:t>
      </w:r>
      <w:r>
        <w:t xml:space="preserve">. Two tenants may both have a</w:t>
      </w:r>
      <w:r>
        <w:t xml:space="preserve"> </w:t>
      </w:r>
      <w:r>
        <w:t xml:space="preserve">project</w:t>
      </w:r>
      <w:r>
        <w:t xml:space="preserve"> </w:t>
      </w:r>
      <w:r>
        <w:t xml:space="preserve">“production”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hardware_id</w:t>
      </w:r>
      <w:r>
        <w:rPr>
          <w:b/>
          <w:bCs/>
        </w:rPr>
        <w:t xml:space="preserve"> </w:t>
      </w:r>
      <w:r>
        <w:rPr>
          <w:b/>
          <w:bCs/>
        </w:rPr>
        <w:t xml:space="preserve">globally unique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schema_postgres.sql:30</w:t>
      </w:r>
      <w:r>
        <w:t xml:space="preserve">;</w:t>
      </w:r>
      <w:r>
        <w:t xml:space="preserve"> </w:t>
      </w:r>
      <w:r>
        <w:rPr>
          <w:rStyle w:val="VerbatimChar"/>
        </w:rPr>
        <w:t xml:space="preserve">store.go:338</w:t>
      </w:r>
      <w:r>
        <w:t xml:space="preserve"> </w:t>
      </w:r>
      <w:r>
        <w:rPr>
          <w:rStyle w:val="VerbatimChar"/>
        </w:rPr>
        <w:t xml:space="preserve">GetDeviceByHardwareID</w:t>
      </w:r>
      <w:r>
        <w:t xml:space="preserve">) →</w:t>
      </w:r>
      <w:r>
        <w:t xml:space="preserve"> </w:t>
      </w:r>
      <w:r>
        <w:rPr>
          <w:rStyle w:val="VerbatimChar"/>
          <w:b/>
          <w:bCs/>
        </w:rPr>
        <w:t xml:space="preserve">UNIQUE (account_id, hardware_id)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GetDeviceByHardwareID</w:t>
      </w:r>
      <w:r>
        <w:t xml:space="preserve"> </w:t>
      </w:r>
      <w:r>
        <w:t xml:space="preserve">gains an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parameter (§3.2).</w:t>
      </w:r>
      <w:r>
        <w:t xml:space="preserve"> </w:t>
      </w:r>
      <w:r>
        <w:rPr>
          <w:i/>
          <w:iCs/>
        </w:rPr>
        <w:t xml:space="preserve">Tradeoff /</w:t>
      </w:r>
      <w:r>
        <w:rPr>
          <w:i/>
          <w:iCs/>
        </w:rPr>
        <w:t xml:space="preserve"> </w:t>
      </w:r>
      <w:r>
        <w:rPr>
          <w:i/>
          <w:iCs/>
        </w:rPr>
        <w:t xml:space="preserve">flag:</w:t>
      </w:r>
      <w:r>
        <w:t xml:space="preserve"> </w:t>
      </w:r>
      <w:r>
        <w:t xml:space="preserve">if a single physical device could legitimately belong to two accounts this</w:t>
      </w:r>
      <w:r>
        <w:t xml:space="preserve"> </w:t>
      </w:r>
      <w:r>
        <w:t xml:space="preserve">must instead be a global unique — but the mandate’s tree makes a device</w:t>
      </w:r>
      <w:r>
        <w:t xml:space="preserve"> </w:t>
      </w:r>
      <w:r>
        <w:t xml:space="preserve">account-owned, so per-account is recommended; surfaced for operator confirmation.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Release monotonicity /</w:t>
      </w:r>
      <w:r>
        <w:rPr>
          <w:b/>
          <w:bCs/>
        </w:rPr>
        <w:t xml:space="preserve"> </w:t>
      </w:r>
      <w:r>
        <w:rPr>
          <w:b/>
          <w:bCs/>
        </w:rPr>
        <w:t xml:space="preserve">“latest”</w:t>
      </w:r>
      <w:r>
        <w:rPr>
          <w:b/>
          <w:bCs/>
        </w:rPr>
        <w:t xml:space="preserve"> </w:t>
      </w:r>
      <w:r>
        <w:rPr>
          <w:b/>
          <w:bCs/>
        </w:rPr>
        <w:t xml:space="preserve">keyed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(os_type, target_model)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store.go:349</w:t>
      </w:r>
      <w:r>
        <w:t xml:space="preserve"> </w:t>
      </w:r>
      <w:r>
        <w:rPr>
          <w:rStyle w:val="VerbatimChar"/>
        </w:rPr>
        <w:t xml:space="preserve">LatestRelease</w:t>
      </w:r>
      <w:r>
        <w:t xml:space="preserve">;</w:t>
      </w:r>
      <w:r>
        <w:t xml:space="preserve"> </w:t>
      </w:r>
      <w:r>
        <w:rPr>
          <w:rStyle w:val="VerbatimChar"/>
        </w:rPr>
        <w:t xml:space="preserve">releaseMu</w:t>
      </w:r>
      <w:r>
        <w:t xml:space="preserve"> </w:t>
      </w:r>
      <w:r>
        <w:t xml:space="preserve">invariant</w:t>
      </w:r>
      <w:r>
        <w:t xml:space="preserve"> </w:t>
      </w:r>
      <w:r>
        <w:rPr>
          <w:rStyle w:val="VerbatimChar"/>
        </w:rPr>
        <w:t xml:space="preserve">server.go:56-69</w:t>
      </w:r>
      <w:r>
        <w:t xml:space="preserve">) →</w:t>
      </w:r>
      <w:r>
        <w:t xml:space="preserve"> </w:t>
      </w:r>
      <w:r>
        <w:rPr>
          <w:rStyle w:val="VerbatimChar"/>
          <w:b/>
          <w:bCs/>
        </w:rPr>
        <w:t xml:space="preserve">(account_id, project_id, os_type, target_model)</w:t>
      </w:r>
      <w:r>
        <w:t xml:space="preserve">.</w:t>
      </w:r>
      <w:r>
        <w:t xml:space="preserve"> </w:t>
      </w:r>
      <w:r>
        <w:rPr>
          <w:rStyle w:val="VerbatimChar"/>
        </w:rPr>
        <w:t xml:space="preserve">LatestRelease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ReleaseByVersion</w:t>
      </w:r>
      <w:r>
        <w:t xml:space="preserve"> </w:t>
      </w:r>
      <w:r>
        <w:t xml:space="preserve">gain account+project scope (§3.2).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Active-deployment uniqueness keyed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(os, target_model, group)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store.go:359</w:t>
      </w:r>
      <w:r>
        <w:t xml:space="preserve"> </w:t>
      </w:r>
      <w:r>
        <w:rPr>
          <w:rStyle w:val="VerbatimChar"/>
        </w:rPr>
        <w:t xml:space="preserve">ActiveDeploymentForTarget</w:t>
      </w:r>
      <w:r>
        <w:t xml:space="preserve">;</w:t>
      </w:r>
      <w:r>
        <w:t xml:space="preserve"> </w:t>
      </w:r>
      <w:r>
        <w:rPr>
          <w:rStyle w:val="VerbatimChar"/>
        </w:rPr>
        <w:t xml:space="preserve">deployMu</w:t>
      </w:r>
      <w:r>
        <w:t xml:space="preserve"> </w:t>
      </w:r>
      <w:r>
        <w:rPr>
          <w:rStyle w:val="VerbatimChar"/>
        </w:rPr>
        <w:t xml:space="preserve">server.go:42-54</w:t>
      </w:r>
      <w:r>
        <w:t xml:space="preserve">) →</w:t>
      </w:r>
      <w:r>
        <w:t xml:space="preserve"> </w:t>
      </w:r>
      <w:r>
        <w:rPr>
          <w:rStyle w:val="VerbatimChar"/>
          <w:b/>
          <w:bCs/>
        </w:rPr>
        <w:t xml:space="preserve">(account_id, project_id, os, target_model, group)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ProjectAccess.CallerID</w:t>
      </w:r>
      <w:r>
        <w:rPr>
          <w:b/>
          <w:bCs/>
        </w:rPr>
        <w:t xml:space="preserve"> </w:t>
      </w:r>
      <w:r>
        <w:rPr>
          <w:b/>
          <w:bCs/>
        </w:rPr>
        <w:t xml:space="preserve">a bare subject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store.go:307-311</w:t>
      </w:r>
      <w:r>
        <w:t xml:space="preserve">) → resolves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(§1.2); the same person in several accounts is now representable</w:t>
      </w:r>
      <w:r>
        <w:t xml:space="preserve"> </w:t>
      </w:r>
      <w:r>
        <w:t xml:space="preserve">because membership (§1.3) is keyed per account.</w:t>
      </w:r>
      <w:r>
        <w:t xml:space="preserve"> </w:t>
      </w:r>
      <w:r>
        <w:rPr>
          <w:rStyle w:val="VerbatimChar"/>
        </w:rPr>
        <w:t xml:space="preserve">project_access</w:t>
      </w:r>
      <w:r>
        <w:t xml:space="preserve"> </w:t>
      </w:r>
      <w:r>
        <w:t xml:space="preserve">rows are</w:t>
      </w:r>
      <w:r>
        <w:t xml:space="preserve"> </w:t>
      </w:r>
      <w:r>
        <w:t xml:space="preserve">implicitly account-scoped via</w:t>
      </w:r>
      <w:r>
        <w:t xml:space="preserve"> </w:t>
      </w:r>
      <w:r>
        <w:rPr>
          <w:rStyle w:val="VerbatimChar"/>
        </w:rPr>
        <w:t xml:space="preserve">projects.account_id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Group name globally unique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schema_postgres.sql:102</w:t>
      </w:r>
      <w:r>
        <w:t xml:space="preserve">;</w:t>
      </w:r>
      <w:r>
        <w:t xml:space="preserve"> </w:t>
      </w:r>
      <w:r>
        <w:rPr>
          <w:rStyle w:val="VerbatimChar"/>
        </w:rPr>
        <w:t xml:space="preserve">memory.go</w:t>
      </w:r>
      <w:r>
        <w:t xml:space="preserve"> </w:t>
      </w:r>
      <w:r>
        <w:rPr>
          <w:rStyle w:val="VerbatimChar"/>
        </w:rPr>
        <w:t xml:space="preserve">grpByName</w:t>
      </w:r>
      <w:r>
        <w:t xml:space="preserve">) →</w:t>
      </w:r>
      <w:r>
        <w:t xml:space="preserve"> </w:t>
      </w:r>
      <w:r>
        <w:rPr>
          <w:rStyle w:val="VerbatimChar"/>
          <w:b/>
          <w:bCs/>
        </w:rPr>
        <w:t xml:space="preserve">UNIQUE (account_id, name)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carry no tenant dimension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) → the data model</w:t>
      </w:r>
      <w:r>
        <w:t xml:space="preserve"> </w:t>
      </w:r>
      <w:r>
        <w:t xml:space="preserve">requires either an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in the minted token OR a per-request</w:t>
      </w:r>
      <w:r>
        <w:t xml:space="preserve"> </w:t>
      </w:r>
      <w:r>
        <w:t xml:space="preserve">membership lookup.</w:t>
      </w:r>
      <w:r>
        <w:t xml:space="preserve"> </w:t>
      </w:r>
      <w:r>
        <w:rPr>
          <w:b/>
          <w:bCs/>
        </w:rPr>
        <w:t xml:space="preserve">The token-shape choice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21_*</w:t>
      </w:r>
      <w:r>
        <w:rPr>
          <w:b/>
          <w:bCs/>
        </w:rPr>
        <w:t xml:space="preserve">’s</w:t>
      </w:r>
      <w:r>
        <w:t xml:space="preserve"> </w:t>
      </w:r>
      <w:r>
        <w:t xml:space="preserve">(OQ-2). The</w:t>
      </w:r>
      <w:r>
        <w:t xml:space="preserve"> </w:t>
      </w:r>
      <w:r>
        <w:rPr>
          <w:i/>
          <w:iCs/>
        </w:rPr>
        <w:t xml:space="preserve">data-model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</w:t>
      </w:r>
      <w:r>
        <w:t xml:space="preserve"> </w:t>
      </w:r>
      <w:r>
        <w:t xml:space="preserve">this doc fixes: the Membership table MUST support a fast</w:t>
      </w:r>
      <w:r>
        <w:t xml:space="preserve"> </w:t>
      </w:r>
      <w:r>
        <w:rPr>
          <w:rStyle w:val="VerbatimChar"/>
        </w:rPr>
        <w:t xml:space="preserve">ListUserAccounts(userID)</w:t>
      </w:r>
      <w:r>
        <w:t xml:space="preserve"> </w:t>
      </w:r>
      <w:r>
        <w:t xml:space="preserve">(for account selection after sign-in, 00_INDEX §1.5)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GetAccountMembership(userID, accountID)</w:t>
      </w:r>
      <w:r>
        <w:t xml:space="preserve"> </w:t>
      </w:r>
      <w:r>
        <w:t xml:space="preserve">(per-request authZ) — both indexed</w:t>
      </w:r>
      <w:r>
        <w:t xml:space="preserve"> </w:t>
      </w:r>
      <w:r>
        <w:t xml:space="preserve">in §4.</w:t>
      </w:r>
      <w:r>
        <w:t xml:space="preserve"> </w:t>
      </w:r>
      <w:r>
        <w:rPr>
          <w:b/>
          <w:bCs/>
        </w:rPr>
        <w:t xml:space="preserve">Recommendation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21_*</w:t>
      </w:r>
      <w:r>
        <w:rPr>
          <w:b/>
          <w:bCs/>
        </w:rPr>
        <w:t xml:space="preserve"> </w:t>
      </w:r>
      <w:r>
        <w:rPr>
          <w:b/>
          <w:bCs/>
        </w:rPr>
        <w:t xml:space="preserve">(not decided here):</w:t>
      </w:r>
      <w:r>
        <w:t xml:space="preserve"> </w:t>
      </w:r>
      <w:r>
        <w:t xml:space="preserve">resolve membership</w:t>
      </w:r>
      <w:r>
        <w:t xml:space="preserve"> </w:t>
      </w:r>
      <w:r>
        <w:t xml:space="preserve">per-request (supports account switching without re-minting) with an optional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stamped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user selects an account; tradeoff is a</w:t>
      </w:r>
      <w:r>
        <w:t xml:space="preserve"> </w:t>
      </w:r>
      <w:r>
        <w:t xml:space="preserve">per-request lookup vs a re-mint on switch.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tore.repository-extension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extension</w:t>
      </w:r>
    </w:p>
    <w:p>
      <w:pPr>
        <w:pStyle w:val="FirstParagraph"/>
      </w:pPr>
      <w:r>
        <w:t xml:space="preserve">The Repository is one flat interface (</w:t>
      </w:r>
      <w:r>
        <w:rPr>
          <w:rStyle w:val="VerbatimChar"/>
        </w:rPr>
        <w:t xml:space="preserve">store.go:315-429</w:t>
      </w:r>
      <w:r>
        <w:t xml:space="preserve">) with two implementations —</w:t>
      </w:r>
      <w:r>
        <w:t xml:space="preserve"> </w:t>
      </w:r>
      <w:r>
        <w:rPr>
          <w:rStyle w:val="VerbatimChar"/>
        </w:rPr>
        <w:t xml:space="preserve">MemoryRepository</w:t>
      </w:r>
      <w:r>
        <w:t xml:space="preserve"> </w:t>
      </w:r>
      <w:r>
        <w:t xml:space="preserve">(default,</w:t>
      </w:r>
      <w:r>
        <w:t xml:space="preserve"> </w:t>
      </w:r>
      <w:r>
        <w:rPr>
          <w:rStyle w:val="VerbatimChar"/>
        </w:rPr>
        <w:t xml:space="preserve">main.go:80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PostgresRepository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HELIX_DATABASE_URL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main.go:46-78</w:t>
      </w:r>
      <w:r>
        <w:t xml:space="preserve">). The existing Projects 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store.go:317-332</w:t>
      </w:r>
      <w:r>
        <w:t xml:space="preserve">) is the exact template. The SAME interface methods are added</w:t>
      </w:r>
      <w:r>
        <w:t xml:space="preserve"> </w:t>
      </w:r>
      <w:r>
        <w:t xml:space="preserve">once and implemented by BOTH backends (10_* §5:</w:t>
      </w:r>
      <w:r>
        <w:t xml:space="preserve"> </w:t>
      </w:r>
      <w:r>
        <w:t xml:space="preserve">“additive-friendly — yes”</w:t>
      </w:r>
      <w:r>
        <w:t xml:space="preserve">).</w:t>
      </w:r>
    </w:p>
    <w:bookmarkStart w:id="19" w:name="Xf752e30311a4615406e7cef822a45f6d3b23951"/>
    <w:p>
      <w:pPr>
        <w:pStyle w:val="Heading3"/>
      </w:pPr>
      <w:r>
        <w:t xml:space="preserve">3.1 New interface methods (mirror the Projects block)</w:t>
      </w:r>
    </w:p>
    <w:p>
      <w:pPr>
        <w:pStyle w:val="SourceCode"/>
      </w:pPr>
      <w:r>
        <w:rPr>
          <w:rStyle w:val="CommentTok"/>
        </w:rPr>
        <w:t xml:space="preserve">// Accounts (mirror CreateProject/Get/List/Update/Delete, store.go:317-321).</w:t>
      </w:r>
      <w:r>
        <w:br/>
      </w:r>
      <w:r>
        <w:rPr>
          <w:rStyle w:val="NormalTok"/>
        </w:rPr>
        <w:t xml:space="preserve">CreateAccount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Account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GetAccount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GetAccountBySlug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stable-name resolve (§11.4.111)</w:t>
      </w:r>
      <w:r>
        <w:br/>
      </w:r>
      <w:r>
        <w:rPr>
          <w:rStyle w:val="NormalTok"/>
        </w:rPr>
        <w:t xml:space="preserve">ListAccounts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super-admin only (§6)</w:t>
      </w:r>
      <w:r>
        <w:br/>
      </w:r>
      <w:r>
        <w:rPr>
          <w:rStyle w:val="NormalTok"/>
        </w:rPr>
        <w:t xml:space="preserve">UpdateAccount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Account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DeleteAccount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CommentTok"/>
        </w:rPr>
        <w:t xml:space="preserve">// Users — the CRUD that does NOT exist today (10_* §3).</w:t>
      </w:r>
      <w:r>
        <w:br/>
      </w:r>
      <w:r>
        <w:rPr>
          <w:rStyle w:val="Normal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GetUserByUsername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token Subject → user</w:t>
      </w:r>
      <w:r>
        <w:br/>
      </w:r>
      <w:r>
        <w:rPr>
          <w:rStyle w:val="NormalTok"/>
        </w:rPr>
        <w:t xml:space="preserve">GetUserByEmail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ListUsers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super-admin only</w:t>
      </w:r>
      <w:r>
        <w:br/>
      </w:r>
      <w:r>
        <w:rPr>
          <w:rStyle w:val="Normal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CommentTok"/>
        </w:rPr>
        <w:t xml:space="preserve">// Memberships (mirror the ProjectAccess block, store.go:322-332).</w:t>
      </w:r>
      <w:r>
        <w:br/>
      </w:r>
      <w:r>
        <w:rPr>
          <w:rStyle w:val="NormalTok"/>
        </w:rPr>
        <w:t xml:space="preserve">SetAccountMembership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AccountMembership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grant/update role</w:t>
      </w:r>
      <w:r>
        <w:br/>
      </w:r>
      <w:r>
        <w:rPr>
          <w:rStyle w:val="NormalTok"/>
        </w:rPr>
        <w:t xml:space="preserve">GetAccountMembership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AccountMembership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ListAccountMembers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AccountMembership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ListUserAccounts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AccountMembership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account selection after sign-in</w:t>
      </w:r>
      <w:r>
        <w:br/>
      </w:r>
      <w:r>
        <w:rPr>
          <w:rStyle w:val="NormalTok"/>
        </w:rPr>
        <w:t xml:space="preserve">RemoveAccountMembership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</w:p>
    <w:bookmarkEnd w:id="19"/>
    <w:bookmarkStart w:id="20" w:name="scoping-the-existing-readwrite-methods"/>
    <w:p>
      <w:pPr>
        <w:pStyle w:val="Heading3"/>
      </w:pPr>
      <w:r>
        <w:t xml:space="preserve">3.2 Scoping the existing read/write methods</w:t>
      </w:r>
    </w:p>
    <w:p>
      <w:pPr>
        <w:pStyle w:val="FirstParagraph"/>
      </w:pPr>
      <w:r>
        <w:t xml:space="preserve">Every existing OTA accessor must become account-scoped. Two mechanisms, with a</w:t>
      </w:r>
      <w:r>
        <w:t xml:space="preserve"> </w:t>
      </w:r>
      <w:r>
        <w:t xml:space="preserve">recommended hybrid: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 A — 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accountID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 on every scoped method.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GetDevice(ctx, accountID, deviceID)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GetDeviceByHardwareID(ctx, accountID, hardwareID)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LatestRelease(ctx, accountID, projectID, os, targetModel)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ActiveDeploymentForTarget(ctx, accountID, projectID, os, targetModel, group)</w:t>
      </w:r>
      <w:r>
        <w:t xml:space="preserve">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the compiler forces every call site to supply scope — a forgotten scope is</w:t>
      </w:r>
      <w:r>
        <w:t xml:space="preserve"> </w:t>
      </w:r>
      <w:r>
        <w:t xml:space="preserve">a build error, not a runtime leak.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churns every signature + call site.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 B — carry scope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context.Context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ScopeContext{AccountID, ProjectID}</w:t>
      </w:r>
      <w:r>
        <w:t xml:space="preserve"> </w:t>
      </w:r>
      <w:r>
        <w:t xml:space="preserve">read by each method).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minimal signature churn; mirrors the RLS</w:t>
      </w:r>
      <w:r>
        <w:t xml:space="preserve"> </w:t>
      </w:r>
      <w:r>
        <w:t xml:space="preserve">session-variable pattern (set once per request).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scope becomes implicit —</w:t>
      </w:r>
      <w:r>
        <w:t xml:space="preserve"> </w:t>
      </w:r>
      <w:r>
        <w:t xml:space="preserve">a call in a context missing the scope silently reads unscoped (the exact leak RLS</w:t>
      </w:r>
      <w:r>
        <w:t xml:space="preserve"> </w:t>
      </w:r>
      <w:r>
        <w:t xml:space="preserve">must then catch).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*Filter</w:t>
      </w:r>
      <w:r>
        <w:rPr>
          <w:b/>
          <w:bCs/>
        </w:rPr>
        <w:t xml:space="preserve"> </w:t>
      </w:r>
      <w:r>
        <w:rPr>
          <w:b/>
          <w:bCs/>
        </w:rPr>
        <w:t xml:space="preserve">structs already exist</w:t>
      </w:r>
      <w:r>
        <w:t xml:space="preserve"> </w:t>
      </w:r>
      <w:r>
        <w:t xml:space="preserve">for the list methods (</w:t>
      </w:r>
      <w:r>
        <w:rPr>
          <w:rStyle w:val="VerbatimChar"/>
        </w:rPr>
        <w:t xml:space="preserve">DeviceFilter</w:t>
      </w:r>
      <w:r>
        <w:t xml:space="preserve"> </w:t>
      </w:r>
      <w:r>
        <w:rPr>
          <w:rStyle w:val="VerbatimChar"/>
        </w:rPr>
        <w:t xml:space="preserve">store.go:280-285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AuditFilter</w:t>
      </w:r>
      <w:r>
        <w:t xml:space="preserve">) — add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fields there for the list paths with zero signature change.</w:t>
      </w:r>
    </w:p>
    <w:p>
      <w:pPr>
        <w:pStyle w:val="FirstParagraph"/>
      </w:pPr>
      <w:r>
        <w:rPr>
          <w:b/>
          <w:bCs/>
        </w:rPr>
        <w:t xml:space="preserve">Recommendation (hybrid): Option A (explicit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accountID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projectID</w:t>
      </w:r>
      <w:r>
        <w:rPr>
          <w:b/>
          <w:bCs/>
        </w:rPr>
        <w:t xml:space="preserve"> </w:t>
      </w:r>
      <w:r>
        <w:rPr>
          <w:b/>
          <w:bCs/>
        </w:rPr>
        <w:t xml:space="preserve">where the</w:t>
      </w:r>
      <w:r>
        <w:rPr>
          <w:b/>
          <w:bCs/>
        </w:rPr>
        <w:t xml:space="preserve"> </w:t>
      </w:r>
      <w:r>
        <w:rPr>
          <w:b/>
          <w:bCs/>
        </w:rPr>
        <w:t xml:space="preserve">resource is project-owned) for the single-entity get/create/update methods +</w:t>
      </w:r>
      <w:r>
        <w:rPr>
          <w:b/>
          <w:bCs/>
        </w:rPr>
        <w:t xml:space="preserve"> </w:t>
      </w:r>
      <w:r>
        <w:rPr>
          <w:b/>
          <w:bCs/>
        </w:rPr>
        <w:t xml:space="preserve">extend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*Filter</w:t>
      </w:r>
      <w:r>
        <w:rPr>
          <w:b/>
          <w:bCs/>
        </w:rPr>
        <w:t xml:space="preserve"> </w:t>
      </w:r>
      <w:r>
        <w:rPr>
          <w:b/>
          <w:bCs/>
        </w:rPr>
        <w:t xml:space="preserve">structs for the list methods</w:t>
      </w:r>
      <w:r>
        <w:t xml:space="preserve">, with</w:t>
      </w:r>
      <w:r>
        <w:t xml:space="preserve"> </w:t>
      </w:r>
      <w:r>
        <w:rPr>
          <w:b/>
          <w:bCs/>
        </w:rPr>
        <w:t xml:space="preserve">pgx RLS as the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second layer</w:t>
      </w:r>
      <w:r>
        <w:t xml:space="preserve"> </w:t>
      </w:r>
      <w:r>
        <w:t xml:space="preserve">so even a missed scope cannot leak (defense in depth).</w:t>
      </w:r>
      <w:r>
        <w:t xml:space="preserve"> </w:t>
      </w:r>
      <w:r>
        <w:t xml:space="preserve">Explicit params are chosen over ctx-implicit specifically because the whole point of</w:t>
      </w:r>
      <w:r>
        <w:t xml:space="preserve"> </w:t>
      </w:r>
      <w:r>
        <w:t xml:space="preserve">this feature is tenant isolation, and a compile-time guarantee beats a runtime one.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larger diff (every OTA handler + call site touched) — acceptable, and</w:t>
      </w:r>
      <w:r>
        <w:t xml:space="preserve"> </w:t>
      </w:r>
      <w:r>
        <w:rPr>
          <w:rStyle w:val="VerbatimChar"/>
        </w:rPr>
        <w:t xml:space="preserve">22_api_surface.md</w:t>
      </w:r>
      <w:r>
        <w:t xml:space="preserve"> </w:t>
      </w:r>
      <w:r>
        <w:t xml:space="preserve">already inventories those call sites.</w:t>
      </w:r>
    </w:p>
    <w:bookmarkEnd w:id="20"/>
    <w:bookmarkStart w:id="21" w:name="X2e18b00b25f8796e3e00cee09cc65af93e64e2f"/>
    <w:p>
      <w:pPr>
        <w:pStyle w:val="Heading3"/>
      </w:pPr>
      <w:r>
        <w:t xml:space="preserve">3.3 The missing-transaction problem (atomic</w:t>
      </w:r>
      <w:r>
        <w:t xml:space="preserve"> </w:t>
      </w:r>
      <w:r>
        <w:t xml:space="preserve">“create account + first super-admin”</w:t>
      </w:r>
      <w:r>
        <w:t xml:space="preserve">)</w:t>
      </w:r>
    </w:p>
    <w:p>
      <w:pPr>
        <w:pStyle w:val="FirstParagraph"/>
      </w:pPr>
      <w:r>
        <w:t xml:space="preserve">The seam has</w:t>
      </w:r>
      <w:r>
        <w:t xml:space="preserve"> </w:t>
      </w:r>
      <w:r>
        <w:rPr>
          <w:b/>
          <w:bCs/>
        </w:rPr>
        <w:t xml:space="preserve">no transaction primitive</w:t>
      </w:r>
      <w:r>
        <w:t xml:space="preserve"> </w:t>
      </w:r>
      <w:r>
        <w:t xml:space="preserve">— the code explicitly does a best-effort,</w:t>
      </w:r>
      <w:r>
        <w:t xml:space="preserve"> </w:t>
      </w:r>
      <w:r>
        <w:t xml:space="preserve">non-atomic create-then-grant for projects (10_* §5;</w:t>
      </w:r>
      <w:r>
        <w:t xml:space="preserve"> </w:t>
      </w:r>
      <w:r>
        <w:rPr>
          <w:rStyle w:val="VerbatimChar"/>
        </w:rPr>
        <w:t xml:space="preserve">handlers_project.go:137-154</w:t>
      </w:r>
      <w:r>
        <w:t xml:space="preserve">). For accounts this is worse: a crash between</w:t>
      </w:r>
      <w:r>
        <w:t xml:space="preserve"> </w:t>
      </w:r>
      <w:r>
        <w:t xml:space="preserve">“account</w:t>
      </w:r>
      <w:r>
        <w:t xml:space="preserve"> </w:t>
      </w:r>
      <w:r>
        <w:t xml:space="preserve">created”</w:t>
      </w:r>
      <w:r>
        <w:t xml:space="preserve"> </w:t>
      </w:r>
      <w:r>
        <w:t xml:space="preserve">and</w:t>
      </w:r>
      <w:r>
        <w:t xml:space="preserve"> </w:t>
      </w:r>
      <w:r>
        <w:t xml:space="preserve">“owner membership granted”</w:t>
      </w:r>
      <w:r>
        <w:t xml:space="preserve"> </w:t>
      </w:r>
      <w:r>
        <w:t xml:space="preserve">leaves an</w:t>
      </w:r>
      <w:r>
        <w:t xml:space="preserve"> </w:t>
      </w:r>
      <w:r>
        <w:rPr>
          <w:b/>
          <w:bCs/>
        </w:rPr>
        <w:t xml:space="preserve">ownerless orphan tenant</w:t>
      </w:r>
      <w:r>
        <w:t xml:space="preserve"> </w:t>
      </w:r>
      <w:r>
        <w:t xml:space="preserve">—</w:t>
      </w:r>
      <w:r>
        <w:t xml:space="preserve"> </w:t>
      </w:r>
      <w:r>
        <w:t xml:space="preserve">nobody can administer it and no membership gates it (an isolation + usability</w:t>
      </w:r>
      <w:r>
        <w:t xml:space="preserve"> </w:t>
      </w:r>
      <w:r>
        <w:t xml:space="preserve">defect). Three seam options: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A — a purpose-built composite method</w:t>
      </w:r>
      <w:r>
        <w:t xml:space="preserve"> </w:t>
      </w:r>
      <w:r>
        <w:rPr>
          <w:rStyle w:val="VerbatimChar"/>
        </w:rPr>
        <w:t xml:space="preserve">CreateAccountWithOwner(ctx, a Account, ownerUserID string, role AccountRole) error</w:t>
      </w:r>
      <w:r>
        <w:t xml:space="preserve">,</w:t>
      </w:r>
      <w:r>
        <w:t xml:space="preserve"> </w:t>
      </w:r>
      <w:r>
        <w:t xml:space="preserve">implemented atomically by each backend (pgx:</w:t>
      </w:r>
      <w:r>
        <w:t xml:space="preserve"> </w:t>
      </w:r>
      <w:r>
        <w:rPr>
          <w:rStyle w:val="VerbatimChar"/>
        </w:rPr>
        <w:t xml:space="preserve">BEGIN … COMMIT</w:t>
      </w:r>
      <w:r>
        <w:t xml:space="preserve">; memory: a single</w:t>
      </w:r>
      <w:r>
        <w:t xml:space="preserve"> </w:t>
      </w:r>
      <w:r>
        <w:t xml:space="preserve">mutex-guarded critical section that inserts both the account and the owner</w:t>
      </w:r>
      <w:r>
        <w:t xml:space="preserve"> </w:t>
      </w:r>
      <w:r>
        <w:t xml:space="preserve">membership, rolling back the in-memory map insert on any error).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smallest</w:t>
      </w:r>
      <w:r>
        <w:t xml:space="preserve"> </w:t>
      </w:r>
      <w:r>
        <w:t xml:space="preserve">seam change; matches the existing pattern of purpose-built methods; solves the one</w:t>
      </w:r>
      <w:r>
        <w:t xml:space="preserve"> </w:t>
      </w:r>
      <w:r>
        <w:t xml:space="preserve">flow that actually needs atomicity now.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a bespoke method per atomic flow</w:t>
      </w:r>
      <w:r>
        <w:t xml:space="preserve"> </w:t>
      </w:r>
      <w:r>
        <w:t xml:space="preserve">(doesn’t generalize).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B — a generic transaction primitive</w:t>
      </w:r>
      <w:r>
        <w:t xml:space="preserve"> </w:t>
      </w:r>
      <w:r>
        <w:rPr>
          <w:rStyle w:val="VerbatimChar"/>
        </w:rPr>
        <w:t xml:space="preserve">WithTx(ctx, func(RepositoryTx) error) error</w:t>
      </w:r>
      <w:r>
        <w:t xml:space="preserve"> </w:t>
      </w:r>
      <w:r>
        <w:t xml:space="preserve">on the interface (pgx: a real</w:t>
      </w:r>
      <w:r>
        <w:t xml:space="preserve"> </w:t>
      </w:r>
      <w:r>
        <w:t xml:space="preserve">transaction; memory: a global-lock stand-in).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general — any future</w:t>
      </w:r>
      <w:r>
        <w:t xml:space="preserve"> </w:t>
      </w:r>
      <w:r>
        <w:t xml:space="preserve">multi-write flow (create project + grant, deploy + audit) becomes atomic.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large seam change; the memory impl’s</w:t>
      </w:r>
      <w:r>
        <w:t xml:space="preserve"> </w:t>
      </w:r>
      <w:r>
        <w:t xml:space="preserve">“transaction”</w:t>
      </w:r>
      <w:r>
        <w:t xml:space="preserve"> </w:t>
      </w:r>
      <w:r>
        <w:t xml:space="preserve">is only a coarse lock (no true</w:t>
      </w:r>
      <w:r>
        <w:t xml:space="preserve"> </w:t>
      </w:r>
      <w:r>
        <w:t xml:space="preserve">rollback of partial map mutations without extra bookkeeping); bigger blast radius.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C — keep best-effort compensation</w:t>
      </w:r>
      <w:r>
        <w:t xml:space="preserve"> </w:t>
      </w:r>
      <w:r>
        <w:t xml:space="preserve">(create account → grant → on grant</w:t>
      </w:r>
      <w:r>
        <w:t xml:space="preserve"> </w:t>
      </w:r>
      <w:r>
        <w:t xml:space="preserve">failure, delete account).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zero seam change.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non-atomic across a</w:t>
      </w:r>
      <w:r>
        <w:t xml:space="preserve"> </w:t>
      </w:r>
      <w:r>
        <w:t xml:space="preserve">crash (the orphan-tenant window remains) — rejected for the security-sensitive</w:t>
      </w:r>
      <w:r>
        <w:t xml:space="preserve"> </w:t>
      </w:r>
      <w:r>
        <w:t xml:space="preserve">bootstrap.</w:t>
      </w:r>
    </w:p>
    <w:p>
      <w:pPr>
        <w:pStyle w:val="FirstParagraph"/>
      </w:pPr>
      <w:r>
        <w:rPr>
          <w:b/>
          <w:bCs/>
        </w:rPr>
        <w:t xml:space="preserve">Recommendation: Option A now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CreateAccountWithOwner</w:t>
      </w:r>
      <w:r>
        <w:t xml:space="preserve">, the one flow that must be</w:t>
      </w:r>
      <w:r>
        <w:t xml:space="preserve"> </w:t>
      </w:r>
      <w:r>
        <w:t xml:space="preserve">atomic for correctness), and</w:t>
      </w:r>
      <w:r>
        <w:t xml:space="preserve"> </w:t>
      </w:r>
      <w:r>
        <w:rPr>
          <w:b/>
          <w:bCs/>
        </w:rPr>
        <w:t xml:space="preserve">adopt Option B (</w:t>
      </w:r>
      <w:r>
        <w:rPr>
          <w:rStyle w:val="VerbatimChar"/>
          <w:b/>
          <w:bCs/>
        </w:rPr>
        <w:t xml:space="preserve">WithTx</w:t>
      </w:r>
      <w:r>
        <w:rPr>
          <w:b/>
          <w:bCs/>
        </w:rPr>
        <w:t xml:space="preserve">) later</w:t>
      </w:r>
      <w:r>
        <w:t xml:space="preserve"> </w:t>
      </w:r>
      <w:r>
        <w:t xml:space="preserve">when a second</w:t>
      </w:r>
      <w:r>
        <w:t xml:space="preserve"> </w:t>
      </w:r>
      <w:r>
        <w:t xml:space="preserve">multi-write atomic flow appears — deferred to the implementation phase, not</w:t>
      </w:r>
      <w:r>
        <w:t xml:space="preserve"> </w:t>
      </w:r>
      <w:r>
        <w:t xml:space="preserve">required for MVP.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Option A doesn’t generalize, but it is the minimal</w:t>
      </w:r>
      <w:r>
        <w:t xml:space="preserve"> </w:t>
      </w:r>
      <w:r>
        <w:t xml:space="preserve">change that closes the orphan-tenant hole; Option B is the right long-term seam but</w:t>
      </w:r>
      <w:r>
        <w:t xml:space="preserve"> </w:t>
      </w:r>
      <w:r>
        <w:t xml:space="preserve">is over-scoped for a single bootstrap flow today.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ql-schema-sketch-migration-style-ddl"/>
    <w:p>
      <w:pPr>
        <w:pStyle w:val="Heading2"/>
      </w:pPr>
      <w:r>
        <w:t xml:space="preserve">4. SQL schema sketch (migration-style DDL)</w:t>
      </w:r>
    </w:p>
    <w:p>
      <w:pPr>
        <w:pStyle w:val="FirstParagraph"/>
      </w:pPr>
      <w:r>
        <w:t xml:space="preserve">A store-schema-style migration (opaque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ids, mirroring</w:t>
      </w:r>
      <w:r>
        <w:t xml:space="preserve"> </w:t>
      </w:r>
      <w:r>
        <w:rPr>
          <w:rStyle w:val="VerbatimChar"/>
        </w:rPr>
        <w:t xml:space="preserve">schema_postgres.sql</w:t>
      </w:r>
      <w:r>
        <w:t xml:space="preserve">)</w:t>
      </w:r>
      <w:r>
        <w:t xml:space="preserve"> </w:t>
      </w:r>
      <w:r>
        <w:t xml:space="preserve">— call it</w:t>
      </w:r>
      <w:r>
        <w:t xml:space="preserve"> </w:t>
      </w:r>
      <w:r>
        <w:rPr>
          <w:rStyle w:val="VerbatimChar"/>
          <w:b/>
          <w:bCs/>
        </w:rPr>
        <w:t xml:space="preserve">002_accounts_multitenancy.up.sql</w:t>
      </w:r>
      <w:r>
        <w:t xml:space="preserve">, additive to the shipped store.</w:t>
      </w:r>
      <w:r>
        <w:t xml:space="preserve"> </w:t>
      </w:r>
      <w:r>
        <w:t xml:space="preserve">The canonical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variant would land the same tables in the</w:t>
      </w:r>
      <w:r>
        <w:t xml:space="preserve"> </w:t>
      </w:r>
      <w:r>
        <w:rPr>
          <w:rStyle w:val="VerbatimChar"/>
        </w:rPr>
        <w:t xml:space="preserve">001</w:t>
      </w:r>
      <w:r>
        <w:t xml:space="preserve">-style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001_initial_schema.up.sql</w:t>
      </w:r>
      <w:r>
        <w:t xml:space="preserve">); the mapping is</w:t>
      </w:r>
      <w:r>
        <w:t xml:space="preserve"> </w:t>
      </w:r>
      <w:r>
        <w:rPr>
          <w:rStyle w:val="VerbatimChar"/>
        </w:rPr>
        <w:t xml:space="preserve">TEXT ↔ 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/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here match</w:t>
      </w:r>
      <w:r>
        <w:t xml:space="preserve"> </w:t>
      </w:r>
      <w:r>
        <w:rPr>
          <w:rStyle w:val="VerbatimChar"/>
        </w:rPr>
        <w:t xml:space="preserve">001_initial_schema.up.sql:39-71</w:t>
      </w:r>
      <w:r>
        <w:t xml:space="preserve">. RLS statements are the recommended</w:t>
      </w:r>
      <w:r>
        <w:t xml:space="preserve"> </w:t>
      </w:r>
      <w:r>
        <w:t xml:space="preserve">second isolation layer (§0). This is a</w:t>
      </w:r>
      <w:r>
        <w:t xml:space="preserve"> </w:t>
      </w:r>
      <w:r>
        <w:rPr>
          <w:b/>
          <w:bCs/>
        </w:rPr>
        <w:t xml:space="preserve">sketch for the design; not applied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-- 002_accounts_multitenancy (UP) — additive to schema_postgres.sql. TEXT ids to</w:t>
      </w:r>
      <w:r>
        <w:br/>
      </w:r>
      <w:r>
        <w:rPr>
          <w:rStyle w:val="CommentTok"/>
        </w:rPr>
        <w:t xml:space="preserve">-- match the shipped store; UUID in the canonical 001-style schema. NOT executed.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helix_ota,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-- 1) New top-level tenant.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helix_ota.accounts (</w:t>
      </w:r>
      <w:r>
        <w:br/>
      </w:r>
      <w:r>
        <w:rPr>
          <w:rStyle w:val="NormalTok"/>
        </w:rPr>
        <w:t xml:space="preserve">    account_id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-- 2) Persisted User (closes the 10_* §3 gap; mirrors 001_initial_schema users).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helix_ota.users (</w:t>
      </w:r>
      <w:r>
        <w:br/>
      </w:r>
      <w:r>
        <w:rPr>
          <w:rStyle w:val="NormalTok"/>
        </w:rPr>
        <w:t xml:space="preserve">    user_id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is_super_admin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§6 global bypass flag</w:t>
      </w:r>
      <w:r>
        <w:br/>
      </w:r>
      <w:r>
        <w:rPr>
          <w:rStyle w:val="NormalTok"/>
        </w:rPr>
        <w:t xml:space="preserve">    is_active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-- 2b) api_keys (from 001_initial_schema.up.sql:57-71; non-interactive CI/CLI creds).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helix_ota.api_keys (</w:t>
      </w:r>
      <w:r>
        <w:br/>
      </w:r>
      <w:r>
        <w:rPr>
          <w:rStyle w:val="NormalTok"/>
        </w:rPr>
        <w:t xml:space="preserve">    api_key_id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helix_ota.users(user_id)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helix_ota.accounts(account_id)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key_hash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hash only; cleartext shown once (§11.4.10)</w:t>
      </w:r>
      <w:r>
        <w:br/>
      </w:r>
      <w:r>
        <w:rPr>
          <w:rStyle w:val="NormalTok"/>
        </w:rPr>
        <w:t xml:space="preserve">    name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permissions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 TIMESTAMPTZ,</w:t>
      </w:r>
      <w:r>
        <w:br/>
      </w:r>
      <w:r>
        <w:rPr>
          <w:rStyle w:val="NormalTok"/>
        </w:rPr>
        <w:t xml:space="preserve">    revoked_at  TIMESTAMPTZ,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idx_api_keys_user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helix_ota.api_keys 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idx_api_keys_account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helix_ota.api_keys (account_id);</w:t>
      </w:r>
      <w:r>
        <w:br/>
      </w:r>
      <w:r>
        <w:br/>
      </w:r>
      <w:r>
        <w:rPr>
          <w:rStyle w:val="CommentTok"/>
        </w:rPr>
        <w:t xml:space="preserve">-- 3) Membership (user ↔ account, M:N) — mirrors project_access one level up.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helix_ota.account_members (</w:t>
      </w:r>
      <w:r>
        <w:br/>
      </w:r>
      <w:r>
        <w:rPr>
          <w:rStyle w:val="NormalTok"/>
        </w:rPr>
        <w:t xml:space="preserve">    user_id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helix_ota.users(user_id)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helix_ota.accounts(account_id)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is_owner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granted_at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granted_by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account_id)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idx_account_members_account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helix_ota.account_members (account_id);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idx_account_members_user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helix_ota.account_members (user_id);</w:t>
      </w:r>
      <w:r>
        <w:br/>
      </w:r>
      <w:r>
        <w:br/>
      </w:r>
      <w:r>
        <w:rPr>
          <w:rStyle w:val="CommentTok"/>
        </w:rPr>
        <w:t xml:space="preserve">-- 3b) RESERVED "max-flexibility" RBAC (only if 21_* chooses it — additive, not now):</w:t>
      </w:r>
      <w:r>
        <w:br/>
      </w:r>
      <w:r>
        <w:rPr>
          <w:rStyle w:val="CommentTok"/>
        </w:rPr>
        <w:t xml:space="preserve">-- CREATE TABLE helix_ota.roles (role_id TEXT PK, account_id TEXT NOT NULL</w:t>
      </w:r>
      <w:r>
        <w:br/>
      </w:r>
      <w:r>
        <w:rPr>
          <w:rStyle w:val="CommentTok"/>
        </w:rPr>
        <w:t xml:space="preserve">--   REFERENCES accounts(account_id) ON DELETE CASCADE, name TEXT NOT NULL,</w:t>
      </w:r>
      <w:r>
        <w:br/>
      </w:r>
      <w:r>
        <w:rPr>
          <w:rStyle w:val="CommentTok"/>
        </w:rPr>
        <w:t xml:space="preserve">--   UNIQUE (account_id, name));</w:t>
      </w:r>
      <w:r>
        <w:br/>
      </w:r>
      <w:r>
        <w:rPr>
          <w:rStyle w:val="CommentTok"/>
        </w:rPr>
        <w:t xml:space="preserve">-- CREATE TABLE helix_ota.permissions (permission_id TEXT PK, action TEXT NOT NULL,</w:t>
      </w:r>
      <w:r>
        <w:br/>
      </w:r>
      <w:r>
        <w:rPr>
          <w:rStyle w:val="CommentTok"/>
        </w:rPr>
        <w:t xml:space="preserve">--   resource TEXT NOT NULL, UNIQUE (action, resource));</w:t>
      </w:r>
      <w:r>
        <w:br/>
      </w:r>
      <w:r>
        <w:rPr>
          <w:rStyle w:val="CommentTok"/>
        </w:rPr>
        <w:t xml:space="preserve">-- CREATE TABLE helix_ota.role_permissions (role_id TEXT, permission_id TEXT,</w:t>
      </w:r>
      <w:r>
        <w:br/>
      </w:r>
      <w:r>
        <w:rPr>
          <w:rStyle w:val="CommentTok"/>
        </w:rPr>
        <w:t xml:space="preserve">--   PRIMARY KEY (role_id, permission_id));</w:t>
      </w:r>
      <w:r>
        <w:br/>
      </w:r>
      <w:r>
        <w:rPr>
          <w:rStyle w:val="CommentTok"/>
        </w:rPr>
        <w:t xml:space="preserve">-- and account_members.role becomes a role_id FK.</w:t>
      </w:r>
      <w:r>
        <w:br/>
      </w:r>
      <w:r>
        <w:br/>
      </w:r>
      <w:r>
        <w:rPr>
          <w:rStyle w:val="CommentTok"/>
        </w:rPr>
        <w:t xml:space="preserve">-- 4) Scope the existing OTA tables. account_id nullable now → backfill → NOT NULL</w:t>
      </w:r>
      <w:r>
        <w:br/>
      </w:r>
      <w:r>
        <w:rPr>
          <w:rStyle w:val="CommentTok"/>
        </w:rPr>
        <w:t xml:space="preserve">--    in 003 (see §5 Option A). project_id added to the resources per §2.1.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helix_ota.projects 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helix_ota.devices  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helix_ota.devices  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project_id TEXT;   </w:t>
      </w:r>
      <w:r>
        <w:rPr>
          <w:rStyle w:val="CommentTok"/>
        </w:rPr>
        <w:t xml:space="preserve">-- NULL-until-assigned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helix_ota.artifacts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helix_ota.artifacts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helix_ota.releases 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helix_ota.releases 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helix_ota.deployments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helix_ota.deployments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helix_ota.device_groups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helix_ota.device_groups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project_id TEXT;   </w:t>
      </w:r>
      <w:r>
        <w:rPr>
          <w:rStyle w:val="CommentTok"/>
        </w:rPr>
        <w:t xml:space="preserve">-- nullable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helix_ota.telemetry_events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helix_ota.telemetry_events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project_id TEXT;   </w:t>
      </w:r>
      <w:r>
        <w:rPr>
          <w:rStyle w:val="CommentTok"/>
        </w:rPr>
        <w:t xml:space="preserve">-- nullable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helix_ota.audit_logs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account_id TEXT;   </w:t>
      </w:r>
      <w:r>
        <w:rPr>
          <w:rStyle w:val="CommentTok"/>
        </w:rPr>
        <w:t xml:space="preserve">-- nullable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helix_ota.audit_logs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project_id TEXT;   </w:t>
      </w:r>
      <w:r>
        <w:rPr>
          <w:rStyle w:val="CommentTok"/>
        </w:rPr>
        <w:t xml:space="preserve">-- nullable</w:t>
      </w:r>
      <w:r>
        <w:br/>
      </w:r>
      <w:r>
        <w:br/>
      </w:r>
      <w:r>
        <w:rPr>
          <w:rStyle w:val="CommentTok"/>
        </w:rPr>
        <w:t xml:space="preserve">-- 5) Composite-FK enforcement so resource.account_id == project.account_id (§2).</w:t>
      </w:r>
      <w:r>
        <w:br/>
      </w:r>
      <w:r>
        <w:rPr>
          <w:rStyle w:val="CommentTok"/>
        </w:rPr>
        <w:t xml:space="preserve">--    Requires a UNIQUE (project_id, account_id) on projects to be the FK target.</w:t>
      </w:r>
      <w:r>
        <w:br/>
      </w:r>
      <w:r>
        <w:rPr>
          <w:rStyle w:val="CommentTok"/>
        </w:rPr>
        <w:t xml:space="preserve">--    (Deferred to 003 after backfill sets account_id, since project_id is the PK</w:t>
      </w:r>
      <w:r>
        <w:br/>
      </w:r>
      <w:r>
        <w:rPr>
          <w:rStyle w:val="CommentTok"/>
        </w:rPr>
        <w:t xml:space="preserve">--     and account_id starts nullable.)</w:t>
      </w:r>
      <w:r>
        <w:br/>
      </w:r>
      <w:r>
        <w:rPr>
          <w:rStyle w:val="CommentTok"/>
        </w:rPr>
        <w:t xml:space="preserve">-- ALTER TABLE helix_ota.projects   ADD CONSTRAINT projects_pid_aid_uniq UNIQUE (project_id, account_id);</w:t>
      </w:r>
      <w:r>
        <w:br/>
      </w:r>
      <w:r>
        <w:rPr>
          <w:rStyle w:val="CommentTok"/>
        </w:rPr>
        <w:t xml:space="preserve">-- ALTER TABLE helix_ota.artifacts  ADD CONSTRAINT artifacts_proj_fk</w:t>
      </w:r>
      <w:r>
        <w:br/>
      </w:r>
      <w:r>
        <w:rPr>
          <w:rStyle w:val="CommentTok"/>
        </w:rPr>
        <w:t xml:space="preserve">--     FOREIGN KEY (project_id, account_id) REFERENCES helix_ota.projects (project_id, account_id);</w:t>
      </w:r>
      <w:r>
        <w:br/>
      </w:r>
      <w:r>
        <w:rPr>
          <w:rStyle w:val="CommentTok"/>
        </w:rPr>
        <w:t xml:space="preserve">-- (same composite FK for releases, deployments; devices/groups/telemetry where project_id NOT NULL)</w:t>
      </w:r>
      <w:r>
        <w:br/>
      </w:r>
      <w:r>
        <w:br/>
      </w:r>
      <w:r>
        <w:rPr>
          <w:rStyle w:val="CommentTok"/>
        </w:rPr>
        <w:t xml:space="preserve">-- 6) Uniqueness re-scoping (§2.2). Old global uniques are dropped, per-account added</w:t>
      </w:r>
      <w:r>
        <w:br/>
      </w:r>
      <w:r>
        <w:rPr>
          <w:rStyle w:val="CommentTok"/>
        </w:rPr>
        <w:t xml:space="preserve">--    in 003 after backfill (a per-account unique cannot be added while account_id is</w:t>
      </w:r>
      <w:r>
        <w:br/>
      </w:r>
      <w:r>
        <w:rPr>
          <w:rStyle w:val="CommentTok"/>
        </w:rPr>
        <w:t xml:space="preserve">--    still NULL for legacy rows).</w:t>
      </w:r>
      <w:r>
        <w:br/>
      </w:r>
      <w:r>
        <w:rPr>
          <w:rStyle w:val="CommentTok"/>
        </w:rPr>
        <w:t xml:space="preserve">-- ALTER TABLE helix_ota.projects      DROP CONSTRAINT ... ; ADD UNIQUE (account_id, name);</w:t>
      </w:r>
      <w:r>
        <w:br/>
      </w:r>
      <w:r>
        <w:rPr>
          <w:rStyle w:val="CommentTok"/>
        </w:rPr>
        <w:t xml:space="preserve">-- ALTER TABLE helix_ota.devices       DROP CONSTRAINT devices_hardware_id_uniq;</w:t>
      </w:r>
      <w:r>
        <w:br/>
      </w:r>
      <w:r>
        <w:rPr>
          <w:rStyle w:val="CommentTok"/>
        </w:rPr>
        <w:t xml:space="preserve">--   ADD CONSTRAINT devices_acct_hw_uniq UNIQUE (account_id, hardware_id);</w:t>
      </w:r>
      <w:r>
        <w:br/>
      </w:r>
      <w:r>
        <w:rPr>
          <w:rStyle w:val="CommentTok"/>
        </w:rPr>
        <w:t xml:space="preserve">-- ALTER TABLE helix_ota.device_groups DROP CONSTRAINT device_groups_name_uniq;</w:t>
      </w:r>
      <w:r>
        <w:br/>
      </w:r>
      <w:r>
        <w:rPr>
          <w:rStyle w:val="CommentTok"/>
        </w:rPr>
        <w:t xml:space="preserve">--   ADD CONSTRAINT groups_acct_name_uniq UNIQUE (account_id, name);</w:t>
      </w:r>
      <w:r>
        <w:br/>
      </w:r>
      <w:r>
        <w:br/>
      </w:r>
      <w:r>
        <w:rPr>
          <w:rStyle w:val="CommentTok"/>
        </w:rPr>
        <w:t xml:space="preserve">-- 7) Indexes: account_id as the LEADING column of each hot scoping index (AWS RLS</w:t>
      </w:r>
      <w:r>
        <w:br/>
      </w:r>
      <w:r>
        <w:rPr>
          <w:rStyle w:val="CommentTok"/>
        </w:rPr>
        <w:t xml:space="preserve">--    indexing rule). Added in 003 once account_id is populated + NOT NULL.</w:t>
      </w:r>
      <w:r>
        <w:br/>
      </w:r>
      <w:r>
        <w:rPr>
          <w:rStyle w:val="CommentTok"/>
        </w:rPr>
        <w:t xml:space="preserve">-- CREATE INDEX idx_devices_account     ON helix_ota.devices (account_id);</w:t>
      </w:r>
      <w:r>
        <w:br/>
      </w:r>
      <w:r>
        <w:rPr>
          <w:rStyle w:val="CommentTok"/>
        </w:rPr>
        <w:t xml:space="preserve">-- CREATE INDEX idx_artifacts_account   ON helix_ota.artifacts (account_id);</w:t>
      </w:r>
      <w:r>
        <w:br/>
      </w:r>
      <w:r>
        <w:rPr>
          <w:rStyle w:val="CommentTok"/>
        </w:rPr>
        <w:t xml:space="preserve">-- CREATE INDEX idx_releases_account    ON helix_ota.releases (account_id, project_id, os_type, target_model);</w:t>
      </w:r>
      <w:r>
        <w:br/>
      </w:r>
      <w:r>
        <w:rPr>
          <w:rStyle w:val="CommentTok"/>
        </w:rPr>
        <w:t xml:space="preserve">-- CREATE INDEX idx_deployments_account ON helix_ota.deployments (account_id, project_id, status);</w:t>
      </w:r>
      <w:r>
        <w:br/>
      </w:r>
      <w:r>
        <w:rPr>
          <w:rStyle w:val="CommentTok"/>
        </w:rPr>
        <w:t xml:space="preserve">-- CREATE INDEX idx_telemetry_account   ON helix_ota.telemetry_events (account_id);</w:t>
      </w:r>
      <w:r>
        <w:br/>
      </w:r>
      <w:r>
        <w:rPr>
          <w:rStyle w:val="CommentTok"/>
        </w:rPr>
        <w:t xml:space="preserve">-- CREATE INDEX idx_audit_account       ON helix_ota.audit_logs (account_id);</w:t>
      </w:r>
      <w:r>
        <w:br/>
      </w:r>
      <w:r>
        <w:br/>
      </w:r>
      <w:r>
        <w:rPr>
          <w:rStyle w:val="CommentTok"/>
        </w:rPr>
        <w:t xml:space="preserve">-- 8) RLS (recommended §0 second layer; enable in 003 after NOT NULL). Per-table:</w:t>
      </w:r>
      <w:r>
        <w:br/>
      </w:r>
      <w:r>
        <w:rPr>
          <w:rStyle w:val="CommentTok"/>
        </w:rPr>
        <w:t xml:space="preserve">-- ALTER TABLE helix_ota.devices ENABLE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;</w:t>
      </w:r>
      <w:r>
        <w:br/>
      </w:r>
      <w:r>
        <w:rPr>
          <w:rStyle w:val="CommentTok"/>
        </w:rPr>
        <w:t xml:space="preserve">-- CREATE POLICY devices_tenant_isolation ON helix_ota.devices</w:t>
      </w:r>
      <w:r>
        <w:br/>
      </w:r>
      <w:r>
        <w:rPr>
          <w:rStyle w:val="CommentTok"/>
        </w:rPr>
        <w:t xml:space="preserve">--     USING       (account_id = current_setting('app.current_account', true))</w:t>
      </w:r>
      <w:r>
        <w:br/>
      </w:r>
      <w:r>
        <w:rPr>
          <w:rStyle w:val="CommentTok"/>
        </w:rPr>
        <w:t xml:space="preserve">--     WITH CHECK  (account_id = current_setting('app.current_account', true));</w:t>
      </w:r>
      <w:r>
        <w:br/>
      </w:r>
      <w:r>
        <w:rPr>
          <w:rStyle w:val="CommentTok"/>
        </w:rPr>
        <w:t xml:space="preserve">--    The app connects as a NON-owner, NON-BYPASSRLS role and runs</w:t>
      </w:r>
      <w:r>
        <w:br/>
      </w:r>
      <w:r>
        <w:rPr>
          <w:rStyle w:val="CommentTok"/>
        </w:rPr>
        <w:t xml:space="preserve">--    `SET app.current_account = '&lt;account_id&gt;'` per request (AWS pattern). A</w:t>
      </w:r>
      <w:r>
        <w:br/>
      </w:r>
      <w:r>
        <w:rPr>
          <w:rStyle w:val="CommentTok"/>
        </w:rPr>
        <w:t xml:space="preserve">--    super-admin request either sets a super-admin GUC the policy also honors, or</w:t>
      </w:r>
      <w:r>
        <w:br/>
      </w:r>
      <w:r>
        <w:rPr>
          <w:rStyle w:val="CommentTok"/>
        </w:rPr>
        <w:t xml:space="preserve">--    is served by a policy-based bypass (§6) — NOT a BYPASSRLS role.</w:t>
      </w:r>
    </w:p>
    <w:p>
      <w:pPr>
        <w:pStyle w:val="BlockText"/>
      </w:pPr>
      <w:r>
        <w:rPr>
          <w:b/>
          <w:bCs/>
        </w:rPr>
        <w:t xml:space="preserve">Reference to the canonical target schema.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above mirror</w:t>
      </w:r>
      <w:r>
        <w:t xml:space="preserve"> </w:t>
      </w:r>
      <w:r>
        <w:rPr>
          <w:rStyle w:val="VerbatimChar"/>
        </w:rPr>
        <w:t xml:space="preserve">001_initial_schema.up.sql:39-71</w:t>
      </w:r>
      <w:r>
        <w:t xml:space="preserve"> </w:t>
      </w:r>
      <w:r>
        <w:t xml:space="preserve">(which the shipped store never carried, 10_* §3).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scoping columns are the additive complement to that</w:t>
      </w:r>
      <w:r>
        <w:t xml:space="preserve"> </w:t>
      </w:r>
      <w:r>
        <w:t xml:space="preserve">migration’s device/artifact/release/deployment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001_initial_schema.up.sql:80-360</w:t>
      </w:r>
      <w:r>
        <w:t xml:space="preserve">). When the project adopts the</w:t>
      </w:r>
      <w:r>
        <w:t xml:space="preserve"> </w:t>
      </w:r>
      <w:r>
        <w:rPr>
          <w:rStyle w:val="VerbatimChar"/>
        </w:rPr>
        <w:t xml:space="preserve">001</w:t>
      </w:r>
      <w:r>
        <w:t xml:space="preserve">-style</w:t>
      </w:r>
      <w:r>
        <w:t xml:space="preserve"> </w:t>
      </w:r>
      <w:r>
        <w:t xml:space="preserve">normalized schema, this becomes</w:t>
      </w:r>
      <w:r>
        <w:t xml:space="preserve"> </w:t>
      </w:r>
      <w:r>
        <w:rPr>
          <w:rStyle w:val="VerbatimChar"/>
        </w:rPr>
        <w:t xml:space="preserve">002</w:t>
      </w:r>
      <w:r>
        <w:t xml:space="preserve"> </w:t>
      </w:r>
      <w:r>
        <w:t xml:space="preserve">there too, with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ids and FK-to-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/</w:t>
      </w:r>
      <w:r>
        <w:rPr>
          <w:rStyle w:val="VerbatimChar"/>
        </w:rPr>
        <w:t xml:space="preserve">published_by</w:t>
      </w:r>
      <w:r>
        <w:t xml:space="preserve">/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001_initial_schema.up.sql:155,219,265</w:t>
      </w:r>
      <w:r>
        <w:t xml:space="preserve">)</w:t>
      </w:r>
      <w:r>
        <w:t xml:space="preserve"> </w:t>
      </w:r>
      <w:r>
        <w:t xml:space="preserve">finally resolvable.</w:t>
      </w:r>
    </w:p>
    <w:p>
      <w:r>
        <w:pict>
          <v:rect style="width:0;height:1.5pt" o:hralign="center" o:hrstd="t" o:hr="t"/>
        </w:pict>
      </w:r>
    </w:p>
    <w:bookmarkEnd w:id="23"/>
    <w:bookmarkStart w:id="24" w:name="Xed18efc028e19ce743c9b7cc0f7f08e3c67e7ed"/>
    <w:p>
      <w:pPr>
        <w:pStyle w:val="Heading2"/>
      </w:pPr>
      <w:r>
        <w:t xml:space="preserve">5. OQ-4 — migrating existing data under accounts</w:t>
      </w:r>
    </w:p>
    <w:p>
      <w:pPr>
        <w:pStyle w:val="FirstParagraph"/>
      </w:pPr>
      <w:r>
        <w:t xml:space="preserve">OQ-4 (00_INDEX §5): migrate existing projects/rollouts/artifacts under a</w:t>
      </w:r>
      <w:r>
        <w:t xml:space="preserve"> </w:t>
      </w:r>
      <w:r>
        <w:rPr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t xml:space="preserve">, or keep the schema</w:t>
      </w:r>
      <w:r>
        <w:t xml:space="preserve"> </w:t>
      </w:r>
      <w:r>
        <w:rPr>
          <w:b/>
          <w:bCs/>
        </w:rPr>
        <w:t xml:space="preserve">additive-nullable until backfill</w:t>
      </w:r>
      <w:r>
        <w:t xml:space="preserve">? Two options: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 A — default-account backfill (big-bang, then NOT NULL).</w:t>
      </w:r>
      <w:r>
        <w:t xml:space="preserve"> </w:t>
      </w:r>
      <w:r>
        <w:rPr>
          <w:rStyle w:val="VerbatimChar"/>
        </w:rPr>
        <w:t xml:space="preserve">002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nullable → a one-shot backfill assigns every existing project,</w:t>
      </w:r>
      <w:r>
        <w:t xml:space="preserve"> </w:t>
      </w:r>
      <w:r>
        <w:t xml:space="preserve">device, artifact, release, deployment, group, telemetry, audit row to a single</w:t>
      </w:r>
      <w:r>
        <w:t xml:space="preserve"> </w:t>
      </w:r>
      <w:r>
        <w:t xml:space="preserve">seeded</w:t>
      </w:r>
      <w:r>
        <w:t xml:space="preserve"> </w:t>
      </w:r>
      <w:r>
        <w:rPr>
          <w:rStyle w:val="VerbatimChar"/>
          <w:b/>
          <w:bCs/>
        </w:rPr>
        <w:t xml:space="preserve">__default__</w:t>
      </w:r>
      <w:r>
        <w:rPr>
          <w:b/>
          <w:bCs/>
        </w:rPr>
        <w:t xml:space="preserve"> </w:t>
      </w:r>
      <w:r>
        <w:rPr>
          <w:b/>
          <w:bCs/>
        </w:rPr>
        <w:t xml:space="preserve">system account</w:t>
      </w:r>
      <w:r>
        <w:t xml:space="preserve"> </w:t>
      </w:r>
      <w:r>
        <w:t xml:space="preserve">(and a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project where a</w:t>
      </w:r>
      <w:r>
        <w:t xml:space="preserve"> </w:t>
      </w:r>
      <w:r>
        <w:t xml:space="preserve">project_id is required) →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account_id NOT NULL</w:t>
      </w:r>
      <w:r>
        <w:t xml:space="preserve">, adds the per-account</w:t>
      </w:r>
      <w:r>
        <w:t xml:space="preserve"> </w:t>
      </w:r>
      <w:r>
        <w:t xml:space="preserve">uniques, the composite FKs, the leading-column indexes, and enables RLS.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one clean invariant (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is NEVER NULL for a tenant row after</w:t>
      </w:r>
      <w:r>
        <w:t xml:space="preserve"> </w:t>
      </w:r>
      <w:r>
        <w:rPr>
          <w:rStyle w:val="VerbatimChar"/>
        </w:rPr>
        <w:t xml:space="preserve">003</w:t>
      </w:r>
      <w:r>
        <w:t xml:space="preserve">); RLS is correct immediately; no</w:t>
      </w:r>
      <w:r>
        <w:t xml:space="preserve"> </w:t>
      </w:r>
      <w:r>
        <w:t xml:space="preserve">“NULL means legacy-global”</w:t>
      </w:r>
      <w:r>
        <w:t xml:space="preserve"> </w:t>
      </w:r>
      <w:r>
        <w:t xml:space="preserve">special case</w:t>
      </w:r>
      <w:r>
        <w:t xml:space="preserve"> </w:t>
      </w:r>
      <w:r>
        <w:t xml:space="preserve">litters the code.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requires a data-migration step and a brief coordinated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t xml:space="preserve">cutover.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 B — additive-nullable-until-backfill (gradual).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nullable and ship code that tolerates NULL as</w:t>
      </w:r>
      <w:r>
        <w:t xml:space="preserve"> </w:t>
      </w:r>
      <w:r>
        <w:t xml:space="preserve">“unassigned/legacy-global”</w:t>
      </w:r>
      <w:r>
        <w:t xml:space="preserve">,</w:t>
      </w:r>
      <w:r>
        <w:t xml:space="preserve"> </w:t>
      </w:r>
      <w:r>
        <w:t xml:space="preserve">backfill lazily, flip NOT NULL</w:t>
      </w:r>
      <w:r>
        <w:t xml:space="preserve"> </w:t>
      </w:r>
      <w:r>
        <w:t xml:space="preserve">“eventually.”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purely additive, zero-downtime,</w:t>
      </w:r>
      <w:r>
        <w:t xml:space="preserve"> </w:t>
      </w:r>
      <w:r>
        <w:t xml:space="preserve">no cutover.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is NULL, those rows are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per-</w:t>
      </w:r>
      <w:r>
        <w:t xml:space="preserve"> </w:t>
      </w:r>
      <w:r>
        <w:t xml:space="preserve">account scoping — an isolation hole for the whole window; every read path needs a</w:t>
      </w:r>
      <w:r>
        <w:t xml:space="preserve"> </w:t>
      </w:r>
      <w:r>
        <w:t xml:space="preserve">NULL branch; the NOT-NULL flip still needs the same backfill Option A does, just</w:t>
      </w:r>
      <w:r>
        <w:t xml:space="preserve"> </w:t>
      </w:r>
      <w:r>
        <w:t xml:space="preserve">later and with more accumulated NULL rows.</w:t>
      </w:r>
    </w:p>
    <w:p>
      <w:pPr>
        <w:pStyle w:val="FirstParagraph"/>
      </w:pPr>
      <w:r>
        <w:rPr>
          <w:b/>
          <w:bCs/>
        </w:rPr>
        <w:t xml:space="preserve">Recommendation: Option A (default-account backfill).</w:t>
      </w:r>
      <w:r>
        <w:t xml:space="preserve"> </w:t>
      </w:r>
      <w:r>
        <w:t xml:space="preserve">It removes the nullable-</w:t>
      </w:r>
      <w:r>
        <w:t xml:space="preserve"> </w:t>
      </w:r>
      <w:r>
        <w:t xml:space="preserve">isolation-hole window entirely and yields a clean NOT-NULL + RLS invariant on day</w:t>
      </w:r>
      <w:r>
        <w:t xml:space="preserve"> </w:t>
      </w:r>
      <w:r>
        <w:t xml:space="preserve">one. The deciding factor is</w:t>
      </w:r>
      <w:r>
        <w:t xml:space="preserve"> </w:t>
      </w:r>
      <w:r>
        <w:rPr>
          <w:b/>
          <w:bCs/>
        </w:rPr>
        <w:t xml:space="preserve">data volume</w:t>
      </w:r>
      <w:r>
        <w:t xml:space="preserve">, and the as-is state makes the backfill</w:t>
      </w:r>
      <w:r>
        <w:t xml:space="preserve"> </w:t>
      </w:r>
      <w:r>
        <w:t xml:space="preserve">nearly free: the store is an</w:t>
      </w:r>
      <w:r>
        <w:t xml:space="preserve"> </w:t>
      </w:r>
      <w:r>
        <w:rPr>
          <w:b/>
          <w:bCs/>
        </w:rPr>
        <w:t xml:space="preserve">in-memory MVP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main.go:80</w:t>
      </w:r>
      <w:r>
        <w:t xml:space="preserve">) with</w:t>
      </w:r>
      <w:r>
        <w:t xml:space="preserve"> </w:t>
      </w:r>
      <w:r>
        <w:t xml:space="preserve">Postgres wired only when</w:t>
      </w:r>
      <w:r>
        <w:t xml:space="preserve"> </w:t>
      </w:r>
      <w:r>
        <w:rPr>
          <w:rStyle w:val="VerbatimChar"/>
        </w:rPr>
        <w:t xml:space="preserve">HELIX_DATABASE_URL</w:t>
      </w:r>
      <w:r>
        <w:t xml:space="preserve"> </w:t>
      </w:r>
      <w:r>
        <w:t xml:space="preserve">is set and barely populated — so the</w:t>
      </w:r>
      <w:r>
        <w:t xml:space="preserve"> </w:t>
      </w:r>
      <w:r>
        <w:t xml:space="preserve">big-bang cost Option A normally carries is negligible here.</w:t>
      </w:r>
    </w:p>
    <w:p>
      <w:pPr>
        <w:pStyle w:val="BodyText"/>
      </w:pPr>
      <w:r>
        <w:rPr>
          <w:b/>
          <w:bCs/>
        </w:rPr>
        <w:t xml:space="preserve">Operator decision point (flagged, not decided):</w:t>
      </w:r>
      <w:r>
        <w:t xml:space="preserve"> </w:t>
      </w:r>
      <w:r>
        <w:t xml:space="preserve">if, contrary to the as-is</w:t>
      </w:r>
      <w:r>
        <w:t xml:space="preserve"> </w:t>
      </w:r>
      <w:r>
        <w:t xml:space="preserve">state, a target deployment already holds meaningful production OTA data AND a</w:t>
      </w:r>
      <w:r>
        <w:t xml:space="preserve"> </w:t>
      </w:r>
      <w:r>
        <w:t xml:space="preserve">zero-downtime cutover is mandatory, choose Option B and accept the interim NULL-</w:t>
      </w:r>
      <w:r>
        <w:t xml:space="preserve"> </w:t>
      </w:r>
      <w:r>
        <w:t xml:space="preserve">scoping window with an explicit</w:t>
      </w:r>
      <w:r>
        <w:t xml:space="preserve"> </w:t>
      </w:r>
      <w:r>
        <w:t xml:space="preserve">“NULL account_id is visible only to super-admin”</w:t>
      </w:r>
      <w:r>
        <w:t xml:space="preserve"> </w:t>
      </w:r>
      <w:r>
        <w:t xml:space="preserve">guard. The recommendation flips on that single fact — surfaced per §11.4.6, not</w:t>
      </w:r>
      <w:r>
        <w:t xml:space="preserve"> </w:t>
      </w:r>
      <w:r>
        <w:t xml:space="preserve">assumed.</w:t>
      </w:r>
    </w:p>
    <w:p>
      <w:r>
        <w:pict>
          <v:rect style="width:0;height:1.5pt" o:hralign="center" o:hrstd="t" o:hr="t"/>
        </w:pict>
      </w:r>
    </w:p>
    <w:bookmarkEnd w:id="24"/>
    <w:bookmarkStart w:id="25" w:name="super-admin-at-the-data-layer"/>
    <w:p>
      <w:pPr>
        <w:pStyle w:val="Heading2"/>
      </w:pPr>
      <w:r>
        <w:t xml:space="preserve">6. Super-admin at the data layer</w:t>
      </w:r>
    </w:p>
    <w:p>
      <w:pPr>
        <w:pStyle w:val="FirstParagraph"/>
      </w:pPr>
      <w:r>
        <w:t xml:space="preserve">The mandate: the super-user</w:t>
      </w:r>
      <w:r>
        <w:t xml:space="preserve"> </w:t>
      </w:r>
      <w:r>
        <w:t xml:space="preserve">“sees and controls everything”</w:t>
      </w:r>
      <w:r>
        <w:t xml:space="preserve"> </w:t>
      </w:r>
      <w:r>
        <w:t xml:space="preserve">and administers all</w:t>
      </w:r>
      <w:r>
        <w:t xml:space="preserve"> </w:t>
      </w:r>
      <w:r>
        <w:t xml:space="preserve">accounts/users/permissions (00_INDEX §1.4, §1.6). Model it as a</w:t>
      </w:r>
      <w:r>
        <w:t xml:space="preserve"> </w:t>
      </w:r>
      <w:r>
        <w:rPr>
          <w:b/>
          <w:bCs/>
        </w:rPr>
        <w:t xml:space="preserve">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users.is_super_admin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boolean</w:t>
      </w:r>
      <w:r>
        <w:t xml:space="preserve"> </w:t>
      </w:r>
      <w:r>
        <w:t xml:space="preserve">(§1.2) — a property of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, NOT a</w:t>
      </w:r>
      <w:r>
        <w:t xml:space="preserve"> </w:t>
      </w:r>
      <w:r>
        <w:t xml:space="preserve">per-account membership role (a super-admin need not be a member of any account).</w:t>
      </w:r>
    </w:p>
    <w:p>
      <w:pPr>
        <w:pStyle w:val="BodyText"/>
      </w:pPr>
      <w:r>
        <w:rPr>
          <w:b/>
          <w:bCs/>
        </w:rPr>
        <w:t xml:space="preserve">How the flag bypasses account scoping (two layers):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Application layer.</w:t>
      </w:r>
      <w:r>
        <w:t xml:space="preserve"> </w:t>
      </w:r>
      <w:r>
        <w:t xml:space="preserve">The scope resolver returns</w:t>
      </w:r>
      <w:r>
        <w:t xml:space="preserve"> </w:t>
      </w:r>
      <w:r>
        <w:t xml:space="preserve">“all accounts”</w:t>
      </w:r>
      <w:r>
        <w:t xml:space="preserve"> </w:t>
      </w:r>
      <w:r>
        <w:t xml:space="preserve">when the</w:t>
      </w:r>
      <w:r>
        <w:t xml:space="preserve"> </w:t>
      </w:r>
      <w:r>
        <w:t xml:space="preserve">authenticated user is super-admin — the</w:t>
      </w:r>
      <w:r>
        <w:t xml:space="preserve"> </w:t>
      </w:r>
      <w:r>
        <w:rPr>
          <w:i/>
          <w:iCs/>
        </w:rPr>
        <w:t xml:space="preserve">exact precedent already in the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requireProjectAccess</w:t>
      </w:r>
      <w:r>
        <w:t xml:space="preserve"> </w:t>
      </w:r>
      <w:r>
        <w:t xml:space="preserve">lets a global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bypass the per-project ACL and</w:t>
      </w:r>
      <w:r>
        <w:t xml:space="preserve"> </w:t>
      </w:r>
      <w:r>
        <w:t xml:space="preserve">implicitly access every project (</w:t>
      </w:r>
      <w:r>
        <w:rPr>
          <w:rStyle w:val="VerbatimChar"/>
        </w:rPr>
        <w:t xml:space="preserve">handlers_project.go:43-60</w:t>
      </w:r>
      <w:r>
        <w:t xml:space="preserve">), and the list-all</w:t>
      </w:r>
      <w:r>
        <w:t xml:space="preserve"> </w:t>
      </w:r>
      <w:r>
        <w:t xml:space="preserve">path returns every project for a global admin (</w:t>
      </w:r>
      <w:r>
        <w:rPr>
          <w:rStyle w:val="VerbatimChar"/>
        </w:rPr>
        <w:t xml:space="preserve">handlers_project.go:162-199</w:t>
      </w:r>
      <w:r>
        <w:t xml:space="preserve">).</w:t>
      </w:r>
      <w:r>
        <w:t xml:space="preserve"> </w:t>
      </w:r>
      <w:r>
        <w:t xml:space="preserve">The account layer generalizes this: super-admin ⇒ skip 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filter /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 layer (RLS).</w:t>
      </w:r>
      <w:r>
        <w:t xml:space="preserve"> </w:t>
      </w:r>
      <w:r>
        <w:t xml:space="preserve">Prefer a</w:t>
      </w:r>
      <w:r>
        <w:t xml:space="preserve"> </w:t>
      </w:r>
      <w:r>
        <w:rPr>
          <w:b/>
          <w:bCs/>
        </w:rPr>
        <w:t xml:space="preserve">policy-based bypass over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BYPASSRLS</w:t>
      </w:r>
      <w:r>
        <w:rPr>
          <w:b/>
          <w:bCs/>
        </w:rPr>
        <w:t xml:space="preserve"> </w:t>
      </w:r>
      <w:r>
        <w:rPr>
          <w:b/>
          <w:bCs/>
        </w:rPr>
        <w:t xml:space="preserve">role.</w:t>
      </w:r>
      <w:r>
        <w:t xml:space="preserve"> </w:t>
      </w:r>
      <w:r>
        <w:t xml:space="preserve">A normal request connects as a non-owner, non-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 and sets</w:t>
      </w:r>
      <w:r>
        <w:t xml:space="preserve"> </w:t>
      </w:r>
      <w:r>
        <w:rPr>
          <w:rStyle w:val="VerbatimChar"/>
        </w:rPr>
        <w:t xml:space="preserve">app.current_account</w:t>
      </w:r>
      <w:r>
        <w:t xml:space="preserve">; a super-admin request additionally sets a super-admin GUC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SET app.is_super_admin = 'on'</w:t>
      </w:r>
      <w:r>
        <w:t xml:space="preserve">) that each policy’s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clause also</w:t>
      </w:r>
      <w:r>
        <w:t xml:space="preserve"> </w:t>
      </w:r>
      <w:r>
        <w:t xml:space="preserve">accepts:</w:t>
      </w:r>
      <w:r>
        <w:t xml:space="preserve"> </w:t>
      </w:r>
      <w:r>
        <w:rPr>
          <w:rStyle w:val="VerbatimChar"/>
        </w:rPr>
        <w:t xml:space="preserve">USING (account_id = current_setting('app.current_account', true)         OR current_setting('app.is_super_admin', true) = 'on')</w:t>
      </w:r>
      <w:r>
        <w:t xml:space="preserve">.</w:t>
      </w:r>
      <w:r>
        <w:t xml:space="preserve"> </w:t>
      </w:r>
      <w:r>
        <w:t xml:space="preserve">AWS explicitly recommends</w:t>
      </w:r>
      <w:r>
        <w:t xml:space="preserve"> </w:t>
      </w:r>
      <w:r>
        <w:t xml:space="preserve">“policy-based admin access over privilege-based bypass”</w:t>
      </w:r>
      <w:r>
        <w:t xml:space="preserve"> </w:t>
      </w:r>
      <w:r>
        <w:t xml:space="preserve">because it</w:t>
      </w:r>
      <w:r>
        <w:t xml:space="preserve"> </w:t>
      </w:r>
      <w:r>
        <w:t xml:space="preserve">“keeps admin access</w:t>
      </w:r>
      <w:r>
        <w:t xml:space="preserve"> </w:t>
      </w:r>
      <w:r>
        <w:rPr>
          <w:b/>
          <w:bCs/>
        </w:rPr>
        <w:t xml:space="preserve">auditable and revocable</w:t>
      </w:r>
      <w:r>
        <w:t xml:space="preserve">”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</w:t>
      </w:r>
      <w:r>
        <w:t xml:space="preserve"> </w:t>
      </w:r>
      <w:r>
        <w:t xml:space="preserve">is invisible to the policy and cannot be scoped or logged per query. (PostgreSQL:</w:t>
      </w:r>
      <w:r>
        <w:t xml:space="preserve"> </w:t>
      </w:r>
      <w:r>
        <w:t xml:space="preserve">superusers and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bypass RLS — which is exactly why the</w:t>
      </w:r>
      <w:r>
        <w:t xml:space="preserve"> </w:t>
      </w:r>
      <w:r>
        <w:t xml:space="preserve">app must NOT connect as one for super-admin requests.)</w:t>
      </w:r>
    </w:p>
    <w:p>
      <w:pPr>
        <w:pStyle w:val="FirstParagraph"/>
      </w:pPr>
      <w:r>
        <w:rPr>
          <w:b/>
          <w:bCs/>
        </w:rPr>
        <w:t xml:space="preserve">Security implications (data layer; full model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26_security_threat_model.md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Maximum blast radius.</w:t>
      </w:r>
      <w:r>
        <w:t xml:space="preserve"> </w:t>
      </w:r>
      <w:r>
        <w:t xml:space="preserve">One compromised super-admin credential = total cross-</w:t>
      </w:r>
      <w:r>
        <w:t xml:space="preserve"> </w:t>
      </w:r>
      <w:r>
        <w:t xml:space="preserve">tenant breach. Therefore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is settable</w:t>
      </w:r>
      <w:r>
        <w:t xml:space="preserve"> </w:t>
      </w:r>
      <w:r>
        <w:rPr>
          <w:b/>
          <w:bCs/>
        </w:rPr>
        <w:t xml:space="preserve">only via config/env</w:t>
      </w:r>
      <w:r>
        <w:rPr>
          <w:b/>
          <w:bCs/>
        </w:rPr>
        <w:t xml:space="preserve"> </w:t>
      </w:r>
      <w:r>
        <w:rPr>
          <w:b/>
          <w:bCs/>
        </w:rPr>
        <w:t xml:space="preserve">bootstrap, never a request</w:t>
      </w:r>
      <w:r>
        <w:t xml:space="preserve"> </w:t>
      </w:r>
      <w:r>
        <w:t xml:space="preserve">— the same trust-boundary rule the codebase already</w:t>
      </w:r>
      <w:r>
        <w:t xml:space="preserve"> </w:t>
      </w:r>
      <w:r>
        <w:t xml:space="preserve">enforces for the token secret (</w:t>
      </w:r>
      <w:r>
        <w:rPr>
          <w:rStyle w:val="VerbatimChar"/>
        </w:rPr>
        <w:t xml:space="preserve">config.go:180-184</w:t>
      </w:r>
      <w:r>
        <w:t xml:space="preserve">), the admin bootstrap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main.go:96-104</w:t>
      </w:r>
      <w:r>
        <w:t xml:space="preserve">), the TLS-proxy trust flag (</w:t>
      </w:r>
      <w:r>
        <w:rPr>
          <w:rStyle w:val="VerbatimChar"/>
        </w:rPr>
        <w:t xml:space="preserve">config.go:88-110</w:t>
      </w:r>
      <w:r>
        <w:t xml:space="preserve">), and the</w:t>
      </w:r>
      <w:r>
        <w:t xml:space="preserve"> </w:t>
      </w:r>
      <w:r>
        <w:t xml:space="preserve">artifact-signature key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handlers_artifact.go:274-283</w:t>
      </w:r>
      <w:r>
        <w:t xml:space="preserve">, which</w:t>
      </w:r>
      <w:r>
        <w:t xml:space="preserve"> </w:t>
      </w:r>
      <w:r>
        <w:t xml:space="preserve">takes the verify key ONLY from server config, never the request). The first</w:t>
      </w:r>
      <w:r>
        <w:t xml:space="preserve"> </w:t>
      </w:r>
      <w:r>
        <w:t xml:space="preserve">super-admin is seeded from a</w:t>
      </w:r>
      <w:r>
        <w:t xml:space="preserve"> </w:t>
      </w:r>
      <w:r>
        <w:rPr>
          <w:rStyle w:val="VerbatimChar"/>
        </w:rPr>
        <w:t xml:space="preserve">HELIX_*</w:t>
      </w:r>
      <w:r>
        <w:t xml:space="preserve"> </w:t>
      </w:r>
      <w:r>
        <w:t xml:space="preserve">env field (or the existing</w:t>
      </w:r>
      <w:r>
        <w:t xml:space="preserve"> </w:t>
      </w:r>
      <w:r>
        <w:rPr>
          <w:rStyle w:val="VerbatimChar"/>
        </w:rPr>
        <w:t xml:space="preserve">HELIX_ADMIN_PASSWORD</w:t>
      </w:r>
      <w:r>
        <w:t xml:space="preserve"> </w:t>
      </w:r>
      <w:r>
        <w:t xml:space="preserve">path extended with</w:t>
      </w:r>
      <w:r>
        <w:t xml:space="preserve"> </w:t>
      </w:r>
      <w:r>
        <w:rPr>
          <w:rStyle w:val="VerbatimChar"/>
        </w:rPr>
        <w:t xml:space="preserve">is_super_admin=true</w:t>
      </w:r>
      <w:r>
        <w:t xml:space="preserve">), following</w:t>
      </w:r>
      <w:r>
        <w:t xml:space="preserve"> </w:t>
      </w:r>
      <w:r>
        <w:t xml:space="preserve">10_* §7 exactly.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Auditability.</w:t>
      </w:r>
      <w:r>
        <w:t xml:space="preserve"> </w:t>
      </w:r>
      <w:r>
        <w:t xml:space="preserve">Every super-admin action MUST record the</w:t>
      </w:r>
      <w:r>
        <w:t xml:space="preserve"> </w:t>
      </w:r>
      <w:r>
        <w:rPr>
          <w:b/>
          <w:bCs/>
        </w:rPr>
        <w:t xml:space="preserve">affected tenant’s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t xml:space="preserve"> </w:t>
      </w:r>
      <w:r>
        <w:t xml:space="preserve">in the audit row (§2.1; the audit table today carries no</w:t>
      </w:r>
      <w:r>
        <w:t xml:space="preserve"> </w:t>
      </w:r>
      <w:r>
        <w:t xml:space="preserve">account_id — 10_* §6). The policy-based bypass (not a BYPASSRLS role) is what</w:t>
      </w:r>
      <w:r>
        <w:t xml:space="preserve"> </w:t>
      </w:r>
      <w:r>
        <w:t xml:space="preserve">keeps those actions attributable per query.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Testable, revocable (anti-bluff).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must carry a paired mutation proving</w:t>
      </w:r>
    </w:p>
    <w:p>
      <w:pPr>
        <w:pStyle w:val="Compact"/>
        <w:numPr>
          <w:ilvl w:val="1"/>
          <w:numId w:val="1010"/>
        </w:numPr>
      </w:pPr>
      <w:r>
        <w:t xml:space="preserve">a non-super-admin session with</w:t>
      </w:r>
      <w:r>
        <w:t xml:space="preserve"> </w:t>
      </w:r>
      <w:r>
        <w:rPr>
          <w:rStyle w:val="VerbatimChar"/>
        </w:rPr>
        <w:t xml:space="preserve">app.current_account = A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read</w:t>
      </w:r>
      <w:r>
        <w:t xml:space="preserve"> </w:t>
      </w:r>
      <w:r>
        <w:t xml:space="preserve">account B’s rows even with a forged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and (b) clearing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(or the GUC)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re-scopes the session — a super-admin bypass that</w:t>
      </w:r>
      <w:r>
        <w:t xml:space="preserve"> </w:t>
      </w:r>
      <w:r>
        <w:t xml:space="preserve">survives revocation is a §11.4 isolation-layer bluff.</w:t>
      </w:r>
    </w:p>
    <w:p>
      <w:r>
        <w:pict>
          <v:rect style="width:0;height:1.5pt" o:hralign="center" o:hrstd="t" o:hr="t"/>
        </w:pict>
      </w:r>
    </w:p>
    <w:bookmarkEnd w:id="25"/>
    <w:bookmarkStart w:id="32" w:name="sources-verified-2026-07-10"/>
    <w:p>
      <w:pPr>
        <w:pStyle w:val="Heading2"/>
      </w:pPr>
      <w:r>
        <w:t xml:space="preserve">Sources verified 2026-07-10</w:t>
      </w:r>
    </w:p>
    <w:p>
      <w:pPr>
        <w:pStyle w:val="Compact"/>
        <w:numPr>
          <w:ilvl w:val="0"/>
          <w:numId w:val="1011"/>
        </w:numPr>
      </w:pPr>
      <w:r>
        <w:t xml:space="preserve">PostgreSQL Row-Level Security for multi-tenant isolation — runtime tenant context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SET</w:t>
      </w:r>
      <w:r>
        <w:t xml:space="preserve">/</w:t>
      </w:r>
      <w:r>
        <w:rPr>
          <w:rStyle w:val="VerbatimChar"/>
        </w:rPr>
        <w:t xml:space="preserve">current_setting('app.current_tenant')</w:t>
      </w:r>
      <w:r>
        <w:t xml:space="preserve">, the app-role-must-not-be-owner-</w:t>
      </w:r>
      <w:r>
        <w:t xml:space="preserve"> </w:t>
      </w:r>
      <w:r>
        <w:t xml:space="preserve">or-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caveat, and the</w:t>
      </w:r>
      <w:r>
        <w:t xml:space="preserve"> </w:t>
      </w:r>
      <w:r>
        <w:t xml:space="preserve">“prefer policy-based admin access over privilege-</w:t>
      </w:r>
      <w:r>
        <w:t xml:space="preserve"> </w:t>
      </w:r>
      <w:r>
        <w:t xml:space="preserve">based bypass … auditable and revocable”</w:t>
      </w:r>
      <w:r>
        <w:t xml:space="preserve"> </w:t>
      </w:r>
      <w:r>
        <w:t xml:space="preserve">guidance:</w:t>
      </w:r>
      <w:r>
        <w:t xml:space="preserve"> </w:t>
      </w:r>
      <w:hyperlink r:id="rId26">
        <w:r>
          <w:rPr>
            <w:rStyle w:val="Hyperlink"/>
          </w:rPr>
          <w:t xml:space="preserve">https://aws.amazon.com/blogs/database/multi-tenant-data-isolation-with-postgresql-row-level-security/</w:t>
        </w:r>
      </w:hyperlink>
    </w:p>
    <w:p>
      <w:pPr>
        <w:pStyle w:val="Compact"/>
        <w:numPr>
          <w:ilvl w:val="0"/>
          <w:numId w:val="1011"/>
        </w:numPr>
      </w:pPr>
      <w:r>
        <w:t xml:space="preserve">PostgreSQL official docs — canonical RLS primitives (</w:t>
      </w:r>
      <w:r>
        <w:rPr>
          <w:rStyle w:val="VerbatimChar"/>
        </w:rPr>
        <w:t xml:space="preserve">ALTER TABLE … ENABLE ROW LEVEL 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POLICY … USING … WITH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, superuser/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bypass):</w:t>
      </w:r>
      <w:r>
        <w:t xml:space="preserve"> </w:t>
      </w:r>
      <w:hyperlink r:id="rId27">
        <w:r>
          <w:rPr>
            <w:rStyle w:val="Hyperlink"/>
          </w:rPr>
          <w:t xml:space="preserve">https://www.postgresql.org/docs/current/ddl-rowsecurity.html</w:t>
        </w:r>
      </w:hyperlink>
    </w:p>
    <w:p>
      <w:pPr>
        <w:pStyle w:val="Compact"/>
        <w:numPr>
          <w:ilvl w:val="0"/>
          <w:numId w:val="1011"/>
        </w:numPr>
      </w:pPr>
      <w:r>
        <w:t xml:space="preserve">WorkOS — multi-tenant RBAC data model: membership join keyed</w:t>
      </w:r>
      <w:r>
        <w:t xml:space="preserve"> </w:t>
      </w:r>
      <w:r>
        <w:rPr>
          <w:rStyle w:val="VerbatimChar"/>
        </w:rPr>
        <w:t xml:space="preserve">(user_id, tenant_id, role_id)</w:t>
      </w:r>
      <w:r>
        <w:t xml:space="preserve">, global vs tenant-scoped vs hybrid/template roles,</w:t>
      </w:r>
      <w:r>
        <w:t xml:space="preserve"> </w:t>
      </w:r>
      <w:r>
        <w:rPr>
          <w:rStyle w:val="VerbatimChar"/>
        </w:rPr>
        <w:t xml:space="preserve">UNIQUE(tenant_id, name)</w:t>
      </w:r>
      <w:r>
        <w:t xml:space="preserve"> </w:t>
      </w:r>
      <w:r>
        <w:t xml:space="preserve">for tenant-scoped role namespaces:</w:t>
      </w:r>
      <w:r>
        <w:t xml:space="preserve"> </w:t>
      </w:r>
      <w:hyperlink r:id="rId28">
        <w:r>
          <w:rPr>
            <w:rStyle w:val="Hyperlink"/>
          </w:rPr>
          <w:t xml:space="preserve">https://workos.com/blog/how-to-design-multi-tenant-rbac-saas</w:t>
        </w:r>
      </w:hyperlink>
    </w:p>
    <w:p>
      <w:pPr>
        <w:pStyle w:val="Compact"/>
        <w:numPr>
          <w:ilvl w:val="0"/>
          <w:numId w:val="1011"/>
        </w:numPr>
      </w:pPr>
      <w:r>
        <w:t xml:space="preserve">Microsoft Azure Architecture Center — tenancy models (shared vs schema-per vs</w:t>
      </w:r>
      <w:r>
        <w:t xml:space="preserve"> </w:t>
      </w:r>
      <w:r>
        <w:t xml:space="preserve">database-per) and the isolation/ops-cost tradeoff taxonomy:</w:t>
      </w:r>
      <w:r>
        <w:t xml:space="preserve"> </w:t>
      </w:r>
      <w:hyperlink r:id="rId29">
        <w:r>
          <w:rPr>
            <w:rStyle w:val="Hyperlink"/>
          </w:rPr>
          <w:t xml:space="preserve">https://learn.microsoft.com/en-us/azure/architecture/guide/multitenant/considerations/tenancy-models</w:t>
        </w:r>
      </w:hyperlink>
      <w:r>
        <w:t xml:space="preserve"> </w:t>
      </w:r>
      <w:r>
        <w:t xml:space="preserve">and Azure SQL multitenant SaaS patterns:</w:t>
      </w:r>
      <w:r>
        <w:t xml:space="preserve"> </w:t>
      </w:r>
      <w:hyperlink r:id="rId30">
        <w:r>
          <w:rPr>
            <w:rStyle w:val="Hyperlink"/>
          </w:rPr>
          <w:t xml:space="preserve">https://learn.microsoft.com/en-us/azure/azure-sql/database/saas-tenancy-app-design-patterns</w:t>
        </w:r>
      </w:hyperlink>
    </w:p>
    <w:p>
      <w:pPr>
        <w:pStyle w:val="Compact"/>
        <w:numPr>
          <w:ilvl w:val="0"/>
          <w:numId w:val="1011"/>
        </w:numPr>
      </w:pPr>
      <w:r>
        <w:t xml:space="preserve">Supplementary comparison of the three tenancy patterns (shared-schema+RLS as the</w:t>
      </w:r>
      <w:r>
        <w:t xml:space="preserve"> </w:t>
      </w:r>
      <w:r>
        <w:t xml:space="preserve">default recommendation): dasroot 2026,</w:t>
      </w:r>
      <w:r>
        <w:t xml:space="preserve"> </w:t>
      </w:r>
      <w:hyperlink r:id="rId31">
        <w:r>
          <w:rPr>
            <w:rStyle w:val="Hyperlink"/>
          </w:rPr>
          <w:t xml:space="preserve">https://dasroot.net/posts/2026/01/multi-tenancy-database-patterns-schema-database-row-level/</w:t>
        </w:r>
      </w:hyperlink>
    </w:p>
    <w:p>
      <w:pPr>
        <w:pStyle w:val="FirstParagraph"/>
      </w:pPr>
      <w:r>
        <w:t xml:space="preserve">The composite-FK enforcement of</w:t>
      </w:r>
      <w:r>
        <w:t xml:space="preserve"> </w:t>
      </w:r>
      <w:r>
        <w:rPr>
          <w:rStyle w:val="VerbatimChar"/>
        </w:rPr>
        <w:t xml:space="preserve">resource.account_id == project.account_id</w:t>
      </w:r>
      <w:r>
        <w:t xml:space="preserve"> </w:t>
      </w:r>
      <w:r>
        <w:t xml:space="preserve">(§2)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CreateAccountWithOwner</w:t>
      </w:r>
      <w:r>
        <w:t xml:space="preserve"> </w:t>
      </w:r>
      <w:r>
        <w:t xml:space="preserve">atomic-bootstrap seam (§3.3) are</w:t>
      </w:r>
      <w:r>
        <w:t xml:space="preserve"> </w:t>
      </w:r>
      <w:r>
        <w:rPr>
          <w:b/>
          <w:bCs/>
        </w:rPr>
        <w:t xml:space="preserve">original work</w:t>
      </w:r>
      <w:r>
        <w:t xml:space="preserve"> </w:t>
      </w:r>
      <w:r>
        <w:t xml:space="preserve">applied to this schema — no external source prescribes them; they follow from the</w:t>
      </w:r>
      <w:r>
        <w:t xml:space="preserve"> </w:t>
      </w:r>
      <w:r>
        <w:t xml:space="preserve">shipped store’s shape.</w:t>
      </w:r>
    </w:p>
    <w:bookmarkEnd w:id="32"/>
    <w:bookmarkStart w:id="33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This is a design proposal, not implemented.</w:t>
      </w:r>
      <w:r>
        <w:t xml:space="preserve"> </w:t>
      </w:r>
      <w:r>
        <w:t xml:space="preserve">No entity, column, interface</w:t>
      </w:r>
      <w:r>
        <w:t xml:space="preserve"> </w:t>
      </w:r>
      <w:r>
        <w:t xml:space="preserve">method, migration, or RLS policy described here exists in the codebase yet; 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fact carries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(via 00_/10_*), every</w:t>
      </w:r>
      <w:r>
        <w:t xml:space="preserve"> </w:t>
      </w:r>
      <w:r>
        <w:t xml:space="preserve">“to-be”</w:t>
      </w:r>
      <w:r>
        <w:t xml:space="preserve"> </w:t>
      </w:r>
      <w:r>
        <w:t xml:space="preserve">element is a</w:t>
      </w:r>
      <w:r>
        <w:t xml:space="preserve"> </w:t>
      </w:r>
      <w:r>
        <w:t xml:space="preserve">proposal. Nothing here is a §11.4 completion claim.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Every open choice is presented with a recommendation + tradeoffs for operator</w:t>
      </w:r>
      <w:r>
        <w:rPr>
          <w:b/>
          <w:bCs/>
        </w:rPr>
        <w:t xml:space="preserve"> </w:t>
      </w:r>
      <w:r>
        <w:rPr>
          <w:b/>
          <w:bCs/>
        </w:rPr>
        <w:t xml:space="preserve">decision, never silently decided:</w:t>
      </w:r>
      <w:r>
        <w:t xml:space="preserve"> </w:t>
      </w:r>
      <w:r>
        <w:t xml:space="preserve">the tenancy model (§0), the id type</w:t>
      </w:r>
      <w:r>
        <w:t xml:space="preserve"> </w:t>
      </w:r>
      <w:r>
        <w:t xml:space="preserve">TEXT-vs-UUID divergence (§1), the OTA-resource scoping shape (§2), the Repository</w:t>
      </w:r>
      <w:r>
        <w:t xml:space="preserve"> </w:t>
      </w:r>
      <w:r>
        <w:t xml:space="preserve">scoping mechanism and the atomic-bootstrap seam (§3), the OQ-4 migration path</w:t>
      </w:r>
      <w:r>
        <w:t xml:space="preserve"> </w:t>
      </w:r>
      <w:r>
        <w:t xml:space="preserve">(§5), the super-admin RLS-bypass mechanism (§6). The permission-model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(OQ-2) is deliberately deferred to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; this doc fixes</w:t>
      </w:r>
      <w:r>
        <w:t xml:space="preserve"> </w:t>
      </w:r>
      <w:r>
        <w:t xml:space="preserve">only the minimal role skeleton + the data-layer requirements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must satisfy.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Scope of the audit behind the as-is facts: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references were</w:t>
      </w:r>
      <w:r>
        <w:t xml:space="preserve"> </w:t>
      </w:r>
      <w:r>
        <w:t xml:space="preserve">established by 10_* against non-test source only; a test path may exercise a</w:t>
      </w:r>
      <w:r>
        <w:t xml:space="preserve"> </w:t>
      </w:r>
      <w:r>
        <w:t xml:space="preserve">detail not seen. The pgx read paths were read as SQL strings, not executed against</w:t>
      </w:r>
      <w:r>
        <w:t xml:space="preserve"> </w:t>
      </w:r>
      <w:r>
        <w:t xml:space="preserve">a live DB (10_*</w:t>
      </w:r>
      <w:r>
        <w:t xml:space="preserve"> </w:t>
      </w:r>
      <w:r>
        <w:t xml:space="preserve">“Honest gaps”</w:t>
      </w:r>
      <w:r>
        <w:t xml:space="preserve">). The rollout subsystem’s tenancy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internal/rollout/</w:t>
      </w:r>
      <w:r>
        <w:t xml:space="preserve">) is marked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in 10_* and is not designed here —</w:t>
      </w:r>
      <w:r>
        <w:t xml:space="preserve"> </w:t>
      </w:r>
      <w:r>
        <w:rPr>
          <w:rStyle w:val="VerbatimChar"/>
        </w:rPr>
        <w:t xml:space="preserve">21_*</w:t>
      </w:r>
      <w:r>
        <w:t xml:space="preserve">/</w:t>
      </w:r>
      <w:r>
        <w:rPr>
          <w:rStyle w:val="VerbatimChar"/>
        </w:rPr>
        <w:t xml:space="preserve">30_*</w:t>
      </w:r>
      <w:r>
        <w:t xml:space="preserve"> </w:t>
      </w:r>
      <w:r>
        <w:t xml:space="preserve">must audit</w:t>
      </w:r>
      <w:r>
        <w:t xml:space="preserve"> </w:t>
      </w:r>
      <w:r>
        <w:rPr>
          <w:rStyle w:val="VerbatimChar"/>
        </w:rPr>
        <w:t xml:space="preserve">rollout/store.go</w:t>
      </w:r>
      <w:r>
        <w:t xml:space="preserve"> </w:t>
      </w:r>
      <w:r>
        <w:t xml:space="preserve">before scoping 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the recommendation does NOT prove:</w:t>
      </w:r>
      <w:r>
        <w:t xml:space="preserve"> </w:t>
      </w:r>
      <w:r>
        <w:t xml:space="preserve">shared-schema+RLS is the correct</w:t>
      </w:r>
      <w:r>
        <w:t xml:space="preserve"> </w:t>
      </w:r>
      <w:r>
        <w:rPr>
          <w:i/>
          <w:iCs/>
        </w:rPr>
        <w:t xml:space="preserve">default</w:t>
      </w:r>
      <w:r>
        <w:t xml:space="preserve">, not a guarantee of isolation — isolation is only as good as the policies</w:t>
      </w:r>
    </w:p>
    <w:p>
      <w:pPr>
        <w:pStyle w:val="Compact"/>
        <w:numPr>
          <w:ilvl w:val="1"/>
          <w:numId w:val="1013"/>
        </w:numPr>
      </w:pPr>
      <w:r>
        <w:t xml:space="preserve">the scope-resolution code, which is precisely why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 </w:t>
      </w:r>
      <w:r>
        <w:t xml:space="preserve">owns the paired-mutation proof that cross-account reads are impossible.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ws.amazon.com/blogs/database/multi-tenant-data-isolation-with-postgresql-row-level-security/" TargetMode="External" /><Relationship Type="http://schemas.openxmlformats.org/officeDocument/2006/relationships/hyperlink" Id="rId31" Target="https://dasroot.net/posts/2026/01/multi-tenancy-database-patterns-schema-database-row-level/" TargetMode="External" /><Relationship Type="http://schemas.openxmlformats.org/officeDocument/2006/relationships/hyperlink" Id="rId29" Target="https://learn.microsoft.com/en-us/azure/architecture/guide/multitenant/considerations/tenancy-models" TargetMode="External" /><Relationship Type="http://schemas.openxmlformats.org/officeDocument/2006/relationships/hyperlink" Id="rId30" Target="https://learn.microsoft.com/en-us/azure/azure-sql/database/saas-tenancy-app-design-patterns" TargetMode="External" /><Relationship Type="http://schemas.openxmlformats.org/officeDocument/2006/relationships/hyperlink" Id="rId28" Target="https://workos.com/blog/how-to-design-multi-tenant-rbac-saas" TargetMode="External" /><Relationship Type="http://schemas.openxmlformats.org/officeDocument/2006/relationships/hyperlink" Id="rId27" Target="https://www.postgresql.org/docs/current/ddl-rowsecurit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ws.amazon.com/blogs/database/multi-tenant-data-isolation-with-postgresql-row-level-security/" TargetMode="External" /><Relationship Type="http://schemas.openxmlformats.org/officeDocument/2006/relationships/hyperlink" Id="rId31" Target="https://dasroot.net/posts/2026/01/multi-tenancy-database-patterns-schema-database-row-level/" TargetMode="External" /><Relationship Type="http://schemas.openxmlformats.org/officeDocument/2006/relationships/hyperlink" Id="rId29" Target="https://learn.microsoft.com/en-us/azure/architecture/guide/multitenant/considerations/tenancy-models" TargetMode="External" /><Relationship Type="http://schemas.openxmlformats.org/officeDocument/2006/relationships/hyperlink" Id="rId30" Target="https://learn.microsoft.com/en-us/azure/azure-sql/database/saas-tenancy-app-design-patterns" TargetMode="External" /><Relationship Type="http://schemas.openxmlformats.org/officeDocument/2006/relationships/hyperlink" Id="rId28" Target="https://workos.com/blog/how-to-design-multi-tenant-rbac-saas" TargetMode="External" /><Relationship Type="http://schemas.openxmlformats.org/officeDocument/2006/relationships/hyperlink" Id="rId27" Target="https://www.postgresql.org/docs/current/ddl-rowsecur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2026-07-10T15:43:42Z</dcterms:created>
  <dcterms:modified xsi:type="dcterms:W3CDTF">2026-07-10T15:43:42Z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