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412c68f41dccfc65f525bf973a35db6558d8bf"/>
    <w:p>
      <w:pPr>
        <w:pStyle w:val="Heading1"/>
      </w:pPr>
      <w:r>
        <w:t xml:space="preserve">Cross-Document Reconciliation + Consolidated Operator-Decision Register — Multi-Account Research Set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document performs the §11.4.186</w:t>
      </w:r>
      <w:r>
        <w:t xml:space="preserve"> </w:t>
      </w:r>
      <w:r>
        <w:rPr>
          <w:b/>
          <w:bCs/>
        </w:rPr>
        <w:t xml:space="preserve">CROSS-DOC + INTEGRITY</w:t>
      </w:r>
      <w:r>
        <w:t xml:space="preserve"> </w:t>
      </w:r>
      <w:r>
        <w:t xml:space="preserve">consistency pass over the multi-account to-be research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20_</w:t>
      </w:r>
      <w:r>
        <w:t xml:space="preserve">…</w:t>
      </w:r>
      <w:r>
        <w:rPr>
          <w:rStyle w:val="VerbatimChar"/>
        </w:rPr>
        <w:t xml:space="preserve">27_</w:t>
      </w:r>
      <w:r>
        <w:t xml:space="preserve">) and consolidates the still-open operator decisions into one</w:t>
      </w:r>
      <w:r>
        <w:t xml:space="preserve"> </w:t>
      </w:r>
      <w:r>
        <w:t xml:space="preserve">approval-gate register. It is a</w:t>
      </w:r>
      <w:r>
        <w:t xml:space="preserve"> </w:t>
      </w:r>
      <w:r>
        <w:rPr>
          <w:b/>
          <w:bCs/>
        </w:rPr>
        <w:t xml:space="preserve">reconciliation report, not a rewrite</w:t>
      </w:r>
      <w:r>
        <w:t xml:space="preserve">: per</w:t>
      </w:r>
      <w:r>
        <w:t xml:space="preserve"> </w:t>
      </w:r>
      <w:r>
        <w:t xml:space="preserve">§11.4.186 it</w:t>
      </w:r>
      <w:r>
        <w:t xml:space="preserve"> </w:t>
      </w:r>
      <w:r>
        <w:rPr>
          <w:i/>
          <w:iCs/>
        </w:rPr>
        <w:t xml:space="preserve">finds and records</w:t>
      </w:r>
      <w:r>
        <w:t xml:space="preserve"> </w:t>
      </w:r>
      <w:r>
        <w:t xml:space="preserve">divergence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edit any</w:t>
      </w:r>
      <w:r>
        <w:t xml:space="preserve"> </w:t>
      </w:r>
      <w:r>
        <w:t xml:space="preserve">source doc. The only file written under this task is this one (</w:t>
      </w:r>
      <w:r>
        <w:rPr>
          <w:rStyle w:val="VerbatimChar"/>
        </w:rPr>
        <w:t xml:space="preserve">28_*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SSOT.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is the declared single source of</w:t>
      </w:r>
      <w:r>
        <w:t xml:space="preserve"> </w:t>
      </w:r>
      <w:r>
        <w:t xml:space="preserve">truth for entity / claim / column shapes;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owns the</w:t>
      </w:r>
      <w:r>
        <w:t xml:space="preserve"> </w:t>
      </w:r>
      <w:r>
        <w:t xml:space="preserve">permission-model shape + token-claim + role-vocabulary reconciliation (OQ-2);</w:t>
      </w:r>
      <w:r>
        <w:t xml:space="preserve"> </w:t>
      </w:r>
      <w:r>
        <w:rPr>
          <w:rStyle w:val="VerbatimChar"/>
        </w:rPr>
        <w:t xml:space="preserve">22_api_surface.md</w:t>
      </w:r>
      <w:r>
        <w:t xml:space="preserve"> </w:t>
      </w:r>
      <w:r>
        <w:t xml:space="preserve">owns the route shapes + the path-vs-token scoping decision;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owns the per-account signing-key threat/registry.</w:t>
      </w:r>
      <w:r>
        <w:t xml:space="preserve"> </w:t>
      </w:r>
      <w:r>
        <w:rPr>
          <w:rStyle w:val="VerbatimChar"/>
        </w:rPr>
        <w:t xml:space="preserve">23_/24_/25_</w:t>
      </w:r>
      <w:r>
        <w:t xml:space="preserve"> </w:t>
      </w:r>
      <w:r>
        <w:t xml:space="preserve">were authored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landed and their explicitly-marked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shapes are the primary reconciliation targets;</w:t>
      </w:r>
      <w:r>
        <w:t xml:space="preserve"> </w:t>
      </w:r>
      <w:r>
        <w:rPr>
          <w:rStyle w:val="VerbatimChar"/>
        </w:rPr>
        <w:t xml:space="preserve">21_/22_/26_/27_</w:t>
      </w:r>
      <w:r>
        <w:t xml:space="preserve"> </w:t>
      </w:r>
      <w:r>
        <w:t xml:space="preserve">were authored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and cite it.</w:t>
      </w:r>
    </w:p>
    <w:p>
      <w:pPr>
        <w:pStyle w:val="BlockText"/>
      </w:pPr>
      <w:r>
        <w:rPr>
          <w:b/>
          <w:bCs/>
        </w:rPr>
        <w:t xml:space="preserve">Reading order.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(mandate + OQ-1…OQ-4) →</w:t>
      </w:r>
      <w:r>
        <w:t xml:space="preserve"> </w:t>
      </w:r>
      <w:r>
        <w:rPr>
          <w:rStyle w:val="VerbatimChar"/>
        </w:rPr>
        <w:t xml:space="preserve">10_/11_/12_</w:t>
      </w:r>
      <w:r>
        <w:t xml:space="preserve"> </w:t>
      </w:r>
      <w:r>
        <w:t xml:space="preserve">(as-is) →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(entity SSOT) →</w:t>
      </w:r>
      <w:r>
        <w:t xml:space="preserve"> </w:t>
      </w:r>
      <w:r>
        <w:rPr>
          <w:rStyle w:val="VerbatimChar"/>
        </w:rPr>
        <w:t xml:space="preserve">21_/22_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23_/24_/25_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26_/27_</w:t>
      </w:r>
      <w:r>
        <w:t xml:space="preserve">. Every divergence claim</w:t>
      </w:r>
      <w:r>
        <w:t xml:space="preserve"> </w:t>
      </w:r>
      <w:r>
        <w:t xml:space="preserve">below is grounded in a</w:t>
      </w:r>
      <w:r>
        <w:t xml:space="preserve"> </w:t>
      </w:r>
      <w:r>
        <w:rPr>
          <w:rStyle w:val="VerbatimChar"/>
        </w:rPr>
        <w:t xml:space="preserve">doc §section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those docs established; no</w:t>
      </w:r>
      <w:r>
        <w:t xml:space="preserve"> </w:t>
      </w:r>
      <w:r>
        <w:t xml:space="preserve">new external research was performed (§11.4.99 — this is an internal-consistency pass).</w:t>
      </w:r>
    </w:p>
    <w:p>
      <w:r>
        <w:pict>
          <v:rect style="width:0;height:1.5pt" o:hralign="center" o:hrstd="t" o:hr="t"/>
        </w:pict>
      </w:r>
    </w:p>
    <w:bookmarkStart w:id="12" w:name="X03f1b2f4586c627c910fd08b5d727f3d998c521"/>
    <w:p>
      <w:pPr>
        <w:pStyle w:val="Heading2"/>
      </w:pPr>
      <w:r>
        <w:t xml:space="preserve">1. Divergence audit (§11.4.186 CROSS-DOC + INTEGRITY families)</w:t>
      </w:r>
    </w:p>
    <w:p>
      <w:pPr>
        <w:pStyle w:val="FirstParagraph"/>
      </w:pPr>
      <w:r>
        <w:t xml:space="preserve">Method: for each entity / claim / role / endpoint that appears in more than one doc,</w:t>
      </w:r>
      <w:r>
        <w:t xml:space="preserve"> </w:t>
      </w:r>
      <w:r>
        <w:t xml:space="preserve">verify the pre-SSOT docs (</w:t>
      </w:r>
      <w:r>
        <w:rPr>
          <w:rStyle w:val="VerbatimChar"/>
        </w:rPr>
        <w:t xml:space="preserve">23_/24_/25_</w:t>
      </w:r>
      <w:r>
        <w:t xml:space="preserve">) and the post-SSOT docs (</w:t>
      </w:r>
      <w:r>
        <w:rPr>
          <w:rStyle w:val="VerbatimChar"/>
        </w:rPr>
        <w:t xml:space="preserve">21_/22_/26_</w:t>
      </w:r>
      <w:r>
        <w:t xml:space="preserve">) agree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(SSOT). Status vocabulary: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(no action) ·</w:t>
      </w:r>
      <w:r>
        <w:t xml:space="preserve"> </w:t>
      </w:r>
      <w:r>
        <w:rPr>
          <w:b/>
          <w:bCs/>
        </w:rPr>
        <w:t xml:space="preserve">RECONCILE</w:t>
      </w:r>
      <w:r>
        <w:t xml:space="preserve"> </w:t>
      </w:r>
      <w:r>
        <w:t xml:space="preserve">(low-risk wording/name/citation alignment) ·</w:t>
      </w:r>
      <w:r>
        <w:t xml:space="preserve"> </w:t>
      </w:r>
      <w:r>
        <w:rPr>
          <w:b/>
          <w:bCs/>
        </w:rPr>
        <w:t xml:space="preserve">RESIDUAL-BLOCKING</w:t>
      </w:r>
      <w:r>
        <w:t xml:space="preserve"> </w:t>
      </w:r>
      <w:r>
        <w:t xml:space="preserve">(a real</w:t>
      </w:r>
      <w:r>
        <w:t xml:space="preserve"> </w:t>
      </w:r>
      <w:r>
        <w:t xml:space="preserve">contradiction that MUST be fixed before implementation).</w:t>
      </w:r>
    </w:p>
    <w:bookmarkStart w:id="9" w:name="X79dc87e9b076d52d47339eb1c4faea8f54abe8a"/>
    <w:p>
      <w:pPr>
        <w:pStyle w:val="Heading3"/>
      </w:pPr>
      <w:r>
        <w:t xml:space="preserve">1.1 The five explicitly-mandated cross-checks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Authoritative source</w:t>
            </w:r>
          </w:p>
        </w:tc>
        <w:tc>
          <w:tcPr/>
          <w:p>
            <w:pPr>
              <w:pStyle w:val="Compact"/>
            </w:pPr>
            <w:r>
              <w:t xml:space="preserve">Divergent doc:section</w:t>
            </w:r>
          </w:p>
        </w:tc>
        <w:tc>
          <w:tcPr/>
          <w:p>
            <w:pPr>
              <w:pStyle w:val="Compact"/>
            </w:pPr>
            <w:r>
              <w:t xml:space="preserve">The divergence</w:t>
            </w:r>
          </w:p>
        </w:tc>
        <w:tc>
          <w:tcPr/>
          <w:p>
            <w:pPr>
              <w:pStyle w:val="Compact"/>
            </w:pPr>
            <w:r>
              <w:t xml:space="preserve">Recommended resolution (align to SSOT)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claim set</w:t>
            </w:r>
            <w:r>
              <w:t xml:space="preserve"> </w:t>
            </w:r>
            <w:r>
              <w:rPr>
                <w:rStyle w:val="VerbatimChar"/>
              </w:rPr>
              <w:t xml:space="preserve">{sub,roles,iat,exp}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§2.2 #7 (defers token shape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§3 (defines the claim)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§3 / §2.0;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§1.3;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§1.3;</w:t>
            </w:r>
            <w:r>
              <w:t xml:space="preserve"> 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substantive.</w:t>
            </w:r>
            <w:r>
              <w:t xml:space="preserve"> </w:t>
            </w:r>
            <w:r>
              <w:t xml:space="preserve">All docs converge: base</w:t>
            </w:r>
            <w:r>
              <w:t xml:space="preserve"> </w:t>
            </w:r>
            <w:r>
              <w:rPr>
                <w:rStyle w:val="VerbatimChar"/>
              </w:rPr>
              <w:t xml:space="preserve">{sub,roles,iat,exp}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(user tokens) +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(device/CLI tokens); server-minted, server-verified, never self-asserted.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§2.2 #7 said</w:t>
            </w:r>
            <w:r>
              <w:t xml:space="preserve"> </w:t>
            </w:r>
            <w:r>
              <w:t xml:space="preserve">“resolve membership per-request”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§2.2 explicitly</w:t>
            </w:r>
            <w:r>
              <w:t xml:space="preserve"> </w:t>
            </w:r>
            <w:r>
              <w:rPr>
                <w:b/>
                <w:bCs/>
              </w:rPr>
              <w:t xml:space="preserve">reconciles</w:t>
            </w:r>
            <w:r>
              <w:t xml:space="preserve"> </w:t>
            </w:r>
            <w:r>
              <w:t xml:space="preserve">this to</w:t>
            </w:r>
            <w:r>
              <w:t xml:space="preserve"> </w:t>
            </w:r>
            <w:r>
              <w:t xml:space="preserve">“stamp the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claim AND re-verify</w:t>
            </w:r>
            <w:r>
              <w:t xml:space="preserve"> </w:t>
            </w:r>
            <w:r>
              <w:rPr>
                <w:rStyle w:val="VerbatimChar"/>
              </w:rPr>
              <w:t xml:space="preserve">GetAccountMembership</w:t>
            </w:r>
            <w:r>
              <w:t xml:space="preserve"> </w:t>
            </w:r>
            <w:r>
              <w:t xml:space="preserve">per request”</w:t>
            </w:r>
            <w:r>
              <w:t xml:space="preserve"> </w:t>
            </w:r>
            <w:r>
              <w:t xml:space="preserve">(claim = routing hint, membership row = authority).</w:t>
            </w:r>
          </w:p>
        </w:tc>
        <w:tc>
          <w:tcPr/>
          <w:p>
            <w:pPr>
              <w:pStyle w:val="Compact"/>
            </w:pPr>
            <w:r>
              <w:t xml:space="preserve">No action — reconciliation already performed in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§2.2.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Account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§1.1 (</w:t>
            </w: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rPr>
                <w:rStyle w:val="VerbatimChar"/>
              </w:rPr>
              <w:t xml:space="preserve">updated_at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§3.2;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§0/§3.1 (marked</w:t>
            </w:r>
            <w:r>
              <w:t xml:space="preserve"> </w:t>
            </w:r>
            <w:r>
              <w:rPr>
                <w:i/>
                <w:iCs/>
              </w:rPr>
              <w:t xml:space="preserve">illustrative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§3.2 returns</w:t>
            </w:r>
            <w:r>
              <w:t xml:space="preserve"> </w:t>
            </w:r>
            <w:r>
              <w:rPr>
                <w:rStyle w:val="VerbatimChar"/>
              </w:rPr>
              <w:t xml:space="preserve">[{account_id,name,slug,role,is_owner}]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/</w:t>
            </w:r>
            <w:r>
              <w:rPr>
                <w:rStyle w:val="VerbatimChar"/>
              </w:rPr>
              <w:t xml:space="preserve">is_owner</w:t>
            </w:r>
            <w:r>
              <w:t xml:space="preserve"> </w:t>
            </w:r>
            <w:r>
              <w:t xml:space="preserve">come from</w:t>
            </w:r>
            <w:r>
              <w:t xml:space="preserve"> </w:t>
            </w:r>
            <w:r>
              <w:rPr>
                <w:rStyle w:val="VerbatimChar"/>
              </w:rPr>
              <w:t xml:space="preserve">Membership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§1.3), not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; correctly composed.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treats</w:t>
            </w:r>
            <w:r>
              <w:t xml:space="preserve"> </w:t>
            </w:r>
            <w:r>
              <w:rPr>
                <w:rStyle w:val="VerbatimChar"/>
              </w:rPr>
              <w:t xml:space="preserve">Account{…}</w:t>
            </w:r>
            <w:r>
              <w:t xml:space="preserve"> </w:t>
            </w:r>
            <w:r>
              <w:t xml:space="preserve">as opaque/illustrative.</w:t>
            </w:r>
          </w:p>
        </w:tc>
        <w:tc>
          <w:tcPr/>
          <w:p>
            <w:pPr>
              <w:pStyle w:val="Compact"/>
            </w:pPr>
            <w:r>
              <w:t xml:space="preserve">No action;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reconciles to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when it wires.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§1.2 (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rPr>
                <w:rStyle w:val="VerbatimChar"/>
              </w:rPr>
              <w:t xml:space="preserve">is_super_admin</w:t>
            </w:r>
            <w:r>
              <w:t xml:space="preserve">,</w:t>
            </w:r>
            <w:r>
              <w:rPr>
                <w:rStyle w:val="VerbatimChar"/>
              </w:rPr>
              <w:t xml:space="preserve">is_active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§0 UI</w:t>
            </w:r>
            <w:r>
              <w:t xml:space="preserve"> </w:t>
            </w:r>
            <w:r>
              <w:rPr>
                <w:rStyle w:val="VerbatimChar"/>
              </w:rPr>
              <w:t xml:space="preserve">user{id,email,display_name,avatar_url,roles[],permissions[]}</w:t>
            </w:r>
          </w:p>
        </w:tc>
        <w:tc>
          <w:tcPr/>
          <w:p>
            <w:pPr>
              <w:pStyle w:val="Compact"/>
            </w:pPr>
            <w:r>
              <w:t xml:space="preserve">The UI</w:t>
            </w:r>
            <w:r>
              <w:t xml:space="preserve"> </w:t>
            </w:r>
            <w:r>
              <w:rPr>
                <w:b/>
                <w:bCs/>
              </w:rPr>
              <w:t xml:space="preserve">session 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auth-store.ts</w:t>
            </w:r>
            <w:r>
              <w:t xml:space="preserve">, cited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§0) carries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/</w:t>
            </w:r>
            <w:r>
              <w:rPr>
                <w:rStyle w:val="VerbatimChar"/>
              </w:rPr>
              <w:t xml:space="preserve">avatar_url</w:t>
            </w:r>
            <w:r>
              <w:t xml:space="preserve"> </w:t>
            </w:r>
            <w:r>
              <w:rPr>
                <w:b/>
                <w:bCs/>
              </w:rPr>
              <w:t xml:space="preserve">not present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’s persisted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and uses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. This is the existing codebase’s UI shape, not an invented entity.</w:t>
            </w:r>
          </w:p>
        </w:tc>
        <w:tc>
          <w:tcPr/>
          <w:p>
            <w:pPr>
              <w:pStyle w:val="Compact"/>
            </w:pPr>
            <w:r>
              <w:t xml:space="preserve">Reconcile UI ↔ entity: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20_.user_id</w:t>
            </w:r>
            <w:r>
              <w:t xml:space="preserve">; treat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/</w:t>
            </w:r>
            <w:r>
              <w:rPr>
                <w:rStyle w:val="VerbatimChar"/>
              </w:rPr>
              <w:t xml:space="preserve">avatar_url</w:t>
            </w:r>
            <w:r>
              <w:t xml:space="preserve"> </w:t>
            </w:r>
            <w:r>
              <w:t xml:space="preserve">as UI-derived unless the operator wants them persisted — if persisted,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§1.2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must gain optional profile columns. Flag for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</w:t>
            </w:r>
            <w:r>
              <w:t xml:space="preserve"> </w:t>
            </w:r>
            <w:r>
              <w:t xml:space="preserve">(low)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Membership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§1.3</w:t>
            </w:r>
            <w:r>
              <w:t xml:space="preserve"> </w:t>
            </w:r>
            <w:r>
              <w:rPr>
                <w:rStyle w:val="VerbatimChar"/>
              </w:rPr>
              <w:t xml:space="preserve">AccountMembership{AccountID,UserID,Role,IsOwner}</w:t>
            </w:r>
            <w:r>
              <w:t xml:space="preserve"> </w:t>
            </w:r>
            <w:r>
              <w:t xml:space="preserve">/ table</w:t>
            </w:r>
            <w:r>
              <w:t xml:space="preserve"> </w:t>
            </w:r>
            <w:r>
              <w:rPr>
                <w:rStyle w:val="VerbatimChar"/>
              </w:rPr>
              <w:t xml:space="preserve">account_members</w:t>
            </w:r>
            <w:r>
              <w:t xml:space="preserve"> </w:t>
            </w:r>
            <w:r>
              <w:t xml:space="preserve">(composite PK</w:t>
            </w:r>
            <w:r>
              <w:t xml:space="preserve"> </w:t>
            </w:r>
            <w:r>
              <w:rPr>
                <w:rStyle w:val="VerbatimChar"/>
              </w:rPr>
              <w:t xml:space="preserve">(user_id,account_id)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§3.1 / §6.1</w:t>
            </w:r>
            <w:r>
              <w:t xml:space="preserve"> </w:t>
            </w:r>
            <w:r>
              <w:rPr>
                <w:rStyle w:val="VerbatimChar"/>
              </w:rPr>
              <w:t xml:space="preserve">AccountAccess{account_id, role}</w:t>
            </w:r>
            <w:r>
              <w:t xml:space="preserve"> </w:t>
            </w:r>
            <w:r>
              <w:t xml:space="preserve">(marked</w:t>
            </w:r>
            <w:r>
              <w:t xml:space="preserve"> </w:t>
            </w:r>
            <w:r>
              <w:rPr>
                <w:i/>
                <w:iCs/>
              </w:rPr>
              <w:t xml:space="preserve">illustrative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Name + fields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names the type</w:t>
            </w:r>
            <w:r>
              <w:t xml:space="preserve"> </w:t>
            </w:r>
            <w:r>
              <w:rPr>
                <w:rStyle w:val="VerbatimChar"/>
              </w:rPr>
              <w:t xml:space="preserve">AccountAccess</w:t>
            </w:r>
            <w:r>
              <w:t xml:space="preserve"> </w:t>
            </w:r>
            <w:r>
              <w:t xml:space="preserve">and lists only</w:t>
            </w:r>
            <w:r>
              <w:t xml:space="preserve"> </w:t>
            </w:r>
            <w:r>
              <w:rPr>
                <w:rStyle w:val="VerbatimChar"/>
              </w:rPr>
              <w:t xml:space="preserve">{account_id, role}</w:t>
            </w:r>
            <w:r>
              <w:t xml:space="preserve"> </w:t>
            </w:r>
            <w:r>
              <w:t xml:space="preserve">— omitting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is_owner</w:t>
            </w:r>
            <w:r>
              <w:t xml:space="preserve">. (2)</w:t>
            </w:r>
            <w:r>
              <w:t xml:space="preserve"> </w:t>
            </w:r>
            <w:r>
              <w:rPr>
                <w:b/>
                <w:bCs/>
              </w:rPr>
              <w:t xml:space="preserve">Layering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§3.1 frames it as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generalises</w:t>
            </w:r>
            <w:r>
              <w:t xml:space="preserve"> </w:t>
            </w:r>
            <w:r>
              <w:rPr>
                <w:rStyle w:val="VerbatimChar"/>
              </w:rPr>
              <w:t xml:space="preserve">ProjectAccess{project_id,role}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AccountAccess</w:t>
            </w:r>
            <w:r>
              <w:t xml:space="preserve">”</w:t>
            </w:r>
            <w:r>
              <w:t xml:space="preserve">, which reads as</w:t>
            </w:r>
            <w:r>
              <w:t xml:space="preserve"> </w:t>
            </w:r>
            <w:r>
              <w:rPr>
                <w:i/>
                <w:iCs/>
              </w:rPr>
              <w:t xml:space="preserve">replacing</w:t>
            </w:r>
            <w:r>
              <w:t xml:space="preserve"> </w:t>
            </w:r>
            <w:r>
              <w:t xml:space="preserve">project-access;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§1.2 keeps</w:t>
            </w:r>
            <w:r>
              <w:t xml:space="preserve"> </w:t>
            </w:r>
            <w:r>
              <w:rPr>
                <w:rStyle w:val="VerbatimChar"/>
              </w:rPr>
              <w:t xml:space="preserve">ProjectAccess</w:t>
            </w:r>
            <w:r>
              <w:t xml:space="preserve"> </w:t>
            </w:r>
            <w:r>
              <w:t xml:space="preserve">(migrating</w:t>
            </w:r>
            <w:r>
              <w:t xml:space="preserve"> </w:t>
            </w:r>
            <w:r>
              <w:rPr>
                <w:rStyle w:val="VerbatimChar"/>
              </w:rPr>
              <w:t xml:space="preserve">CallerID</w:t>
            </w:r>
            <w:r>
              <w:t xml:space="preserve">→</w:t>
            </w:r>
            <w:r>
              <w:rPr>
                <w:rStyle w:val="VerbatimChar"/>
              </w:rPr>
              <w:t xml:space="preserve">user_id</w:t>
            </w:r>
            <w:r>
              <w:t xml:space="preserve">) AND adds</w:t>
            </w:r>
            <w:r>
              <w:t xml:space="preserve"> </w:t>
            </w:r>
            <w:r>
              <w:rPr>
                <w:rStyle w:val="VerbatimChar"/>
              </w:rPr>
              <w:t xml:space="preserve">AccountMembership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§2.3 wires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requireProjectAccess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Reconcile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’s illustrative</w:t>
            </w:r>
            <w:r>
              <w:t xml:space="preserve"> </w:t>
            </w:r>
            <w:r>
              <w:rPr>
                <w:rStyle w:val="VerbatimChar"/>
              </w:rPr>
              <w:t xml:space="preserve">AccountAccess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AccountMembership</w:t>
            </w:r>
            <w:r>
              <w:t xml:space="preserve"> </w:t>
            </w:r>
            <w:r>
              <w:t xml:space="preserve">(add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is_owner</w:t>
            </w:r>
            <w:r>
              <w:t xml:space="preserve">); restate as an</w:t>
            </w:r>
            <w:r>
              <w:t xml:space="preserve"> </w:t>
            </w:r>
            <w:r>
              <w:rPr>
                <w:b/>
                <w:bCs/>
              </w:rPr>
              <w:t xml:space="preserve">account layer ABOVE</w:t>
            </w:r>
            <w:r>
              <w:t xml:space="preserve"> </w:t>
            </w:r>
            <w:r>
              <w:rPr>
                <w:rStyle w:val="VerbatimChar"/>
              </w:rPr>
              <w:t xml:space="preserve">ProjectAccess</w:t>
            </w:r>
            <w:r>
              <w:t xml:space="preserve">, not a replacement.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§5 already</w:t>
            </w:r>
            <w:r>
              <w:t xml:space="preserve"> </w:t>
            </w:r>
            <w:r>
              <w:rPr>
                <w:b/>
                <w:bCs/>
              </w:rPr>
              <w:t xml:space="preserve">defers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“replace?”</w:t>
            </w:r>
            <w:r>
              <w:t xml:space="preserve"> </w:t>
            </w:r>
            <w:r>
              <w:t xml:space="preserve">question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§2.3</w:t>
            </w:r>
            <w:r>
              <w:t xml:space="preserve"> </w:t>
            </w:r>
            <w:r>
              <w:rPr>
                <w:b/>
                <w:bCs/>
              </w:rPr>
              <w:t xml:space="preserve">resolves</w:t>
            </w:r>
            <w:r>
              <w:t xml:space="preserve"> </w:t>
            </w:r>
            <w:r>
              <w:t xml:space="preserve">it (both layers coexist).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</w:t>
            </w:r>
            <w:r>
              <w:t xml:space="preserve"> </w:t>
            </w:r>
            <w:r>
              <w:t xml:space="preserve">(low;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pre-committed to reconcile,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resolved the layering)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§1.4</w:t>
            </w:r>
            <w:r>
              <w:t xml:space="preserve"> </w:t>
            </w:r>
            <w:r>
              <w:rPr>
                <w:rStyle w:val="VerbatimChar"/>
              </w:rPr>
              <w:t xml:space="preserve">Membership.role ∈ {viewer,operator,admin}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§5.1 token-roles set</w:t>
            </w:r>
            <w:r>
              <w:t xml:space="preserve"> </w:t>
            </w:r>
            <w:r>
              <w:rPr>
                <w:rStyle w:val="VerbatimChar"/>
              </w:rPr>
              <w:t xml:space="preserve">{viewer,operator,admin,device,super_admin}</w:t>
            </w:r>
            <w:r>
              <w:t xml:space="preserve"> </w:t>
            </w:r>
            <w:r>
              <w:t xml:space="preserve">(server</w:t>
            </w:r>
            <w:r>
              <w:t xml:space="preserve"> </w:t>
            </w:r>
            <w:r>
              <w:rPr>
                <w:rStyle w:val="VerbatimChar"/>
              </w:rPr>
              <w:t xml:space="preserve">token.go</w:t>
            </w:r>
            <w:r>
              <w:t xml:space="preserve"> </w:t>
            </w:r>
            <w:r>
              <w:t xml:space="preserve">= SSOT)</w:t>
            </w:r>
          </w:p>
        </w:tc>
        <w:tc>
          <w:tcPr/>
          <w:p>
            <w:pPr>
              <w:pStyle w:val="Compact"/>
            </w:pPr>
            <w:r>
              <w:t xml:space="preserve">Codebase:</w:t>
            </w:r>
            <w:r>
              <w:t xml:space="preserve"> </w:t>
            </w:r>
            <w:r>
              <w:rPr>
                <w:rStyle w:val="VerbatimChar"/>
              </w:rPr>
              <w:t xml:space="preserve">dashboard/src/types/api.ts:12</w:t>
            </w:r>
            <w:r>
              <w:t xml:space="preserve"> </w:t>
            </w:r>
            <w:r>
              <w:t xml:space="preserve">OMITS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clients/ota-manager/.../sidebar.tsx:20-21</w:t>
            </w:r>
            <w:r>
              <w:t xml:space="preserve"> </w:t>
            </w: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"developer"</w:t>
            </w:r>
            <w:r>
              <w:t xml:space="preserve"> </w:t>
            </w:r>
            <w:r>
              <w:t xml:space="preserve">not in the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union (</w:t>
            </w:r>
            <w:r>
              <w:rPr>
                <w:rStyle w:val="VerbatimChar"/>
              </w:rPr>
              <w:t xml:space="preserve">api-client.ts:323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Doc-level CONSISTENT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(per-account subset) and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(token set) agree;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§0/§5 aligns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and flags both codebase divergences. The divergence lives in the</w:t>
            </w:r>
            <w:r>
              <w:t xml:space="preserve"> </w:t>
            </w:r>
            <w:r>
              <w:rPr>
                <w:b/>
                <w:bCs/>
              </w:rPr>
              <w:t xml:space="preserve">codebase</w:t>
            </w:r>
            <w:r>
              <w:t xml:space="preserve">, not between the docs.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§5.1: server</w:t>
            </w:r>
            <w:r>
              <w:t xml:space="preserve"> </w:t>
            </w:r>
            <w:r>
              <w:rPr>
                <w:rStyle w:val="VerbatimChar"/>
              </w:rPr>
              <w:t xml:space="preserve">token.go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; dashboard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union +</w:t>
            </w:r>
            <w:r>
              <w:t xml:space="preserve"> </w:t>
            </w:r>
            <w:r>
              <w:rPr>
                <w:rStyle w:val="VerbatimChar"/>
              </w:rPr>
              <w:t xml:space="preserve">TokenResponse.roles</w:t>
            </w:r>
            <w:r>
              <w:t xml:space="preserve"> </w:t>
            </w:r>
            <w:r>
              <w:t xml:space="preserve">gain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api.ts:12,24</w:t>
            </w:r>
            <w:r>
              <w:t xml:space="preserve">); replace</w:t>
            </w:r>
            <w:r>
              <w:t xml:space="preserve"> </w:t>
            </w:r>
            <w:r>
              <w:rPr>
                <w:rStyle w:val="VerbatimChar"/>
              </w:rPr>
              <w:t xml:space="preserve">sidebar.tsx</w:t>
            </w:r>
            <w:r>
              <w:t xml:space="preserve"> </w:t>
            </w:r>
            <w:r>
              <w:rPr>
                <w:rStyle w:val="VerbatimChar"/>
              </w:rPr>
              <w:t xml:space="preserve">"developer"</w:t>
            </w:r>
            <w:r>
              <w:t xml:space="preserve"> </w:t>
            </w:r>
            <w:r>
              <w:t xml:space="preserve">with a real union role (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§5.2 flags candidate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silently guessed).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§5</w:t>
            </w:r>
            <w:r>
              <w:t xml:space="preserve"> </w:t>
            </w:r>
            <w:r>
              <w:rPr>
                <w:b/>
                <w:bCs/>
              </w:rPr>
              <w:t xml:space="preserve">owns</w:t>
            </w:r>
            <w:r>
              <w:t xml:space="preserve"> </w:t>
            </w:r>
            <w:r>
              <w:t xml:space="preserve">this fix;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§5 flags it.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(docs)</w:t>
            </w:r>
            <w:r>
              <w:t xml:space="preserve"> </w:t>
            </w:r>
            <w:r>
              <w:t xml:space="preserve">/ codebase fix tracked in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Account-scoping approach</w:t>
            </w:r>
            <w:r>
              <w:t xml:space="preserve"> </w:t>
            </w:r>
            <w:r>
              <w:t xml:space="preserve">(path vs token-claim)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§2.0 (decides: token-claim on the hot path, path-based only for the admin cross-account 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§3.2;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§2.3;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§1.3;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§1.3;</w:t>
            </w:r>
            <w:r>
              <w:t xml:space="preserve"> 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Every doc puts tenancy in the</w:t>
            </w:r>
            <w:r>
              <w:t xml:space="preserve"> </w:t>
            </w:r>
            <w:r>
              <w:rPr>
                <w:b/>
                <w:bCs/>
              </w:rPr>
              <w:t xml:space="preserve">signed token claim</w:t>
            </w:r>
            <w:r>
              <w:t xml:space="preserve"> </w:t>
            </w:r>
            <w:r>
              <w:t xml:space="preserve">on the hot path (never a request path/header), and uses</w:t>
            </w:r>
            <w:r>
              <w:t xml:space="preserve"> </w:t>
            </w:r>
            <w:r>
              <w:rPr>
                <w:rStyle w:val="VerbatimChar"/>
              </w:rPr>
              <w:t xml:space="preserve">/admin/accounts/:id/…</w:t>
            </w:r>
            <w:r>
              <w:t xml:space="preserve"> </w:t>
            </w:r>
            <w:r>
              <w:t xml:space="preserve">path-tenancy only for super-admin cross-account ops.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§2.2 #7 left the token-shape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§2.0 binds it; the trust boundary (</w:t>
            </w:r>
            <w:r>
              <w:rPr>
                <w:rStyle w:val="VerbatimChar"/>
              </w:rPr>
              <w:t xml:space="preserve">resolvePublicKey</w:t>
            </w:r>
            <w:r>
              <w:t xml:space="preserve">-class) is preserved everywhere.</w:t>
            </w:r>
          </w:p>
        </w:tc>
        <w:tc>
          <w:tcPr/>
          <w:p>
            <w:pPr>
              <w:pStyle w:val="Compact"/>
            </w:pPr>
            <w:r>
              <w:t xml:space="preserve">No action.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signing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26_</w:t>
            </w:r>
            <w:r>
              <w:t xml:space="preserve"> </w:t>
            </w:r>
            <w:r>
              <w:t xml:space="preserve">§4 (per-account key REGISTRY keyed on resolved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 global fallback, verify-key-from-config-only)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§3 step 4;</w:t>
            </w:r>
            <w:r>
              <w:t xml:space="preserve"> 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§5 #5;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§4.1 (endpoint</w:t>
            </w:r>
            <w:r>
              <w:t xml:space="preserve"> </w:t>
            </w:r>
            <w:r>
              <w:rPr>
                <w:rStyle w:val="VerbatimChar"/>
              </w:rPr>
              <w:t xml:space="preserve">/admin/accounts/:accountId/signing-keys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substantive.</w:t>
            </w:r>
            <w:r>
              <w:t xml:space="preserve"> </w:t>
            </w:r>
            <w:r>
              <w:t xml:space="preserve">All four agree:</w:t>
            </w:r>
            <w:r>
              <w:t xml:space="preserve"> </w:t>
            </w:r>
            <w:r>
              <w:rPr>
                <w:rStyle w:val="VerbatimChar"/>
              </w:rPr>
              <w:t xml:space="preserve">resolvePublicKey(accountID)</w:t>
            </w:r>
            <w:r>
              <w:t xml:space="preserve"> </w:t>
            </w:r>
            <w:r>
              <w:t xml:space="preserve">from a server-side registry, global key as migration fallback, the trust boundary unchanged (only the</w:t>
            </w:r>
            <w:r>
              <w:t xml:space="preserve"> </w:t>
            </w:r>
            <w:r>
              <w:rPr>
                <w:i/>
                <w:iCs/>
              </w:rPr>
              <w:t xml:space="preserve">lookup key</w:t>
            </w:r>
            <w:r>
              <w:t xml:space="preserve"> </w:t>
            </w:r>
            <w:r>
              <w:t xml:space="preserve">gains an account dimension). Device side verifies against its account’s key provisioned from server config, never the offer.</w:t>
            </w:r>
          </w:p>
        </w:tc>
        <w:tc>
          <w:tcPr/>
          <w:p>
            <w:pPr>
              <w:pStyle w:val="Compact"/>
            </w:pPr>
            <w:r>
              <w:t xml:space="preserve">No action on shape; the</w:t>
            </w:r>
            <w:r>
              <w:t xml:space="preserve"> </w:t>
            </w:r>
            <w:r>
              <w:rPr>
                <w:b/>
                <w:bCs/>
              </w:rPr>
              <w:t xml:space="preserve">rollout</w:t>
            </w:r>
            <w:r>
              <w:t xml:space="preserve"> </w:t>
            </w:r>
            <w:r>
              <w:t xml:space="preserve">(one global key now vs registry) is an operator decision — see §2 register row 5.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</w:tr>
    </w:tbl>
    <w:bookmarkEnd w:id="9"/>
    <w:bookmarkStart w:id="10" w:name="Xd05258c5573c477c90b6ea40845d673beb00d65"/>
    <w:p>
      <w:pPr>
        <w:pStyle w:val="Heading3"/>
      </w:pPr>
      <w:r>
        <w:t xml:space="preserve">1.2 Additional divergences found during the pass (not in the mandated five)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Authoritative source</w:t>
            </w:r>
          </w:p>
        </w:tc>
        <w:tc>
          <w:tcPr/>
          <w:p>
            <w:pPr>
              <w:pStyle w:val="Compact"/>
            </w:pPr>
            <w:r>
              <w:t xml:space="preserve">Divergent doc:section</w:t>
            </w:r>
          </w:p>
        </w:tc>
        <w:tc>
          <w:tcPr/>
          <w:p>
            <w:pPr>
              <w:pStyle w:val="Compact"/>
            </w:pPr>
            <w:r>
              <w:t xml:space="preserve">The divergence</w:t>
            </w:r>
          </w:p>
        </w:tc>
        <w:tc>
          <w:tcPr/>
          <w:p>
            <w:pPr>
              <w:pStyle w:val="Compact"/>
            </w:pPr>
            <w:r>
              <w:t xml:space="preserve">Recommended resolution (align to SSOT)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api_keys.project_id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scope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§4 (SSOT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DDL)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§6.1;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§4.1;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§6.1 (</w:t>
            </w:r>
            <w:r>
              <w:t xml:space="preserve">“a key binds to exactly one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optionally one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project_id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§4.1 (</w:t>
            </w:r>
            <w:r>
              <w:t xml:space="preserve">“gains the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nullable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project_id</w:t>
            </w:r>
            <w:r>
              <w:t xml:space="preserve"> </w:t>
            </w:r>
            <w:r>
              <w:t xml:space="preserve">scope columns</w:t>
            </w:r>
            <w:r>
              <w:t xml:space="preserve"> </w:t>
            </w:r>
            <w:r>
              <w:rPr>
                <w:rStyle w:val="VerbatimChar"/>
              </w:rPr>
              <w:t xml:space="preserve">20_*</w:t>
            </w:r>
            <w:r>
              <w:t xml:space="preserve">/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own”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§1.1 (nullable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rPr>
                <w:rStyle w:val="VerbatimChar"/>
                <w:b/>
                <w:bCs/>
              </w:rPr>
              <w:t xml:space="preserve">20_*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owns this shape</w:t>
            </w:r>
            <w:r>
              <w:t xml:space="preserve">”</w:t>
            </w:r>
            <w:r>
              <w:t xml:space="preserve">) ALL treat</w:t>
            </w:r>
            <w:r>
              <w:t xml:space="preserve"> </w:t>
            </w:r>
            <w:r>
              <w:rPr>
                <w:rStyle w:val="VerbatimChar"/>
              </w:rPr>
              <w:t xml:space="preserve">api_keys.project_id</w:t>
            </w:r>
            <w:r>
              <w:t xml:space="preserve"> </w:t>
            </w:r>
            <w:r>
              <w:t xml:space="preserve">as SSOT-owned — but the SSOT’s actual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DDL (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§4, lines 402-414) declares only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omits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project_id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entirely</w:t>
            </w:r>
            <w:r>
              <w:t xml:space="preserve">. Two post-SSOT docs (</w:t>
            </w:r>
            <w:r>
              <w:rPr>
                <w:rStyle w:val="VerbatimChar"/>
              </w:rPr>
              <w:t xml:space="preserve">21_</w:t>
            </w:r>
            <w:r>
              <w:t xml:space="preserve">,</w:t>
            </w:r>
            <w:r>
              <w:rPr>
                <w:rStyle w:val="VerbatimChar"/>
              </w:rPr>
              <w:t xml:space="preserve">22_</w:t>
            </w:r>
            <w:r>
              <w:t xml:space="preserve">) and one pre-SSOT doc (</w:t>
            </w:r>
            <w:r>
              <w:rPr>
                <w:rStyle w:val="VerbatimChar"/>
              </w:rPr>
              <w:t xml:space="preserve">24_</w:t>
            </w:r>
            <w:r>
              <w:t xml:space="preserve">) depend on a column the SSOT does not carry.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20_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§4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DDL to add</w:t>
            </w:r>
            <w:r>
              <w:t xml:space="preserve"> </w:t>
            </w:r>
            <w:r>
              <w:rPr>
                <w:rStyle w:val="VerbatimChar"/>
              </w:rPr>
              <w:t xml:space="preserve">project_id TEXT</w:t>
            </w:r>
            <w:r>
              <w:t xml:space="preserve"> </w:t>
            </w:r>
            <w:r>
              <w:t xml:space="preserve">(nullable,</w:t>
            </w:r>
            <w:r>
              <w:t xml:space="preserve"> </w:t>
            </w:r>
            <w:r>
              <w:rPr>
                <w:rStyle w:val="VerbatimChar"/>
              </w:rPr>
              <w:t xml:space="preserve">REFERENCES projects(project_id)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“any project in the account the caller is authorized for”</w:t>
            </w:r>
            <w:r>
              <w:t xml:space="preserve">, per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§1.1). The SSOT is incomplete, not the consumers — completing the SSOT is the align-to-SSOT fix.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RESIDUAL-BLOCKING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Legacy-token (no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account_id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claim)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§3.3 (authZ SSOT;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cedes authZ to it,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Honest-boundary)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Opposite recommendations for the same request path.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§3.3 recommends</w:t>
            </w:r>
            <w:r>
              <w:t xml:space="preserve"> </w:t>
            </w:r>
            <w:r>
              <w:rPr>
                <w:b/>
                <w:bCs/>
              </w:rPr>
              <w:t xml:space="preserve">Option A — fail-closed</w:t>
            </w:r>
            <w:r>
              <w:t xml:space="preserve">: a token with no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claim is denied on every account-scoped route (super-admin exempt), and it</w:t>
            </w:r>
            <w:r>
              <w:t xml:space="preserve"> </w:t>
            </w:r>
            <w:r>
              <w:rPr>
                <w:b/>
                <w:bCs/>
              </w:rPr>
              <w:t xml:space="preserve">explicitly rejects</w:t>
            </w:r>
            <w:r>
              <w:t xml:space="preserve"> </w:t>
            </w:r>
            <w:r>
              <w:t xml:space="preserve">the default-account fallback as</w:t>
            </w:r>
            <w:r>
              <w:t xml:space="preserve"> </w:t>
            </w:r>
            <w:r>
              <w:t xml:space="preserve">“an isolation-softening special case … the exact NULL-scoping hole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§5 rejects”</w:t>
            </w:r>
            <w:r>
              <w:t xml:space="preserve"> </w:t>
            </w:r>
            <w:r>
              <w:t xml:space="preserve">(noting 15-min access-TTL self-heals).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§6.1 recommends the</w:t>
            </w:r>
            <w:r>
              <w:t xml:space="preserve"> </w:t>
            </w:r>
            <w:r>
              <w:rPr>
                <w:b/>
                <w:bCs/>
              </w:rPr>
              <w:t xml:space="preserve">default-account (</w:t>
            </w:r>
            <w:r>
              <w:rPr>
                <w:rStyle w:val="VerbatimChar"/>
                <w:b/>
                <w:bCs/>
              </w:rPr>
              <w:t xml:space="preserve">__default__</w:t>
            </w:r>
            <w:r>
              <w:rPr>
                <w:b/>
                <w:bCs/>
              </w:rPr>
              <w:t xml:space="preserve">) fallback</w:t>
            </w:r>
            <w:r>
              <w:t xml:space="preserve"> </w:t>
            </w:r>
            <w:r>
              <w:t xml:space="preserve">for a legacy token</w:t>
            </w:r>
            <w:r>
              <w:t xml:space="preserve"> </w:t>
            </w:r>
            <w:r>
              <w:t xml:space="preserve">“for a bounded transition window”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</w:t>
            </w:r>
            <w:r>
              <w:t xml:space="preserve"> </w:t>
            </w:r>
            <w:r>
              <w:t xml:space="preserve">header — i.e. exactly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’s rejected Option B.</w:t>
            </w:r>
          </w:p>
        </w:tc>
        <w:tc>
          <w:tcPr/>
          <w:p>
            <w:pPr>
              <w:pStyle w:val="Compact"/>
            </w:pPr>
            <w:r>
              <w:t xml:space="preserve">Align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§6.1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§3.3</w:t>
            </w:r>
            <w:r>
              <w:t xml:space="preserve"> </w:t>
            </w:r>
            <w:r>
              <w:rPr>
                <w:b/>
                <w:bCs/>
              </w:rPr>
              <w:t xml:space="preserve">Option A (fail-closed)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’s own Honest boundary already cedes token/claim/authZ decisions to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. Keep the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§5 default-account</w:t>
            </w:r>
            <w:r>
              <w:t xml:space="preserve"> </w:t>
            </w:r>
            <w:r>
              <w:rPr>
                <w:b/>
                <w:bCs/>
              </w:rPr>
              <w:t xml:space="preserve">data backfill</w:t>
            </w:r>
            <w:r>
              <w:t xml:space="preserve"> </w:t>
            </w:r>
            <w:r>
              <w:t xml:space="preserve">(existing</w:t>
            </w:r>
            <w:r>
              <w:t xml:space="preserve"> </w:t>
            </w:r>
            <w:r>
              <w:rPr>
                <w:i/>
                <w:iCs/>
              </w:rPr>
              <w:t xml:space="preserve">rows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__default__</w:t>
            </w:r>
            <w:r>
              <w:t xml:space="preserve">); strike the legacy-</w:t>
            </w:r>
            <w:r>
              <w:rPr>
                <w:b/>
                <w:bCs/>
              </w:rPr>
              <w:t xml:space="preserve">token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__default__</w:t>
            </w:r>
            <w:r>
              <w:t xml:space="preserve"> </w:t>
            </w:r>
            <w:r>
              <w:t xml:space="preserve">mapping.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RESIDUAL-BLOCKING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api_keys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PK column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§4 (</w:t>
            </w:r>
            <w:r>
              <w:rPr>
                <w:rStyle w:val="VerbatimChar"/>
              </w:rPr>
              <w:t xml:space="preserve">api_key_id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§0 / §1.1 (</w:t>
            </w:r>
            <w:r>
              <w:rPr>
                <w:rStyle w:val="VerbatimChar"/>
              </w:rPr>
              <w:t xml:space="preserve">id</w:t>
            </w:r>
            <w:r>
              <w:t xml:space="preserve">, quoting the</w:t>
            </w:r>
            <w:r>
              <w:t xml:space="preserve"> </w:t>
            </w:r>
            <w:r>
              <w:rPr>
                <w:rStyle w:val="VerbatimChar"/>
              </w:rPr>
              <w:t xml:space="preserve">001_initial_schema.up.sql:57-71</w:t>
            </w:r>
            <w:r>
              <w:t xml:space="preserve"> </w:t>
            </w:r>
            <w:r>
              <w:t xml:space="preserve">sketch)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carries the pre-SSOT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-sketch column name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§4 renames the PK to</w:t>
            </w:r>
            <w:r>
              <w:t xml:space="preserve"> </w:t>
            </w:r>
            <w:r>
              <w:rPr>
                <w:rStyle w:val="VerbatimChar"/>
              </w:rPr>
              <w:t xml:space="preserve">api_key_id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Align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api_key_id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already delegates the shape to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</w:t>
            </w:r>
            <w:r>
              <w:t xml:space="preserve"> </w:t>
            </w:r>
            <w:r>
              <w:t xml:space="preserve">(low)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type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 (self-flags + resolves: impl seam = opaque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mirroring the shipped store; canonical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-style schema keeps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; §4 states the</w:t>
            </w:r>
            <w:r>
              <w:t xml:space="preserve"> </w:t>
            </w:r>
            <w:r>
              <w:rPr>
                <w:rStyle w:val="VerbatimChar"/>
              </w:rPr>
              <w:t xml:space="preserve">TEXT ↔ UUID</w:t>
            </w:r>
            <w:r>
              <w:t xml:space="preserve"> </w:t>
            </w:r>
            <w:r>
              <w:t xml:space="preserve">mapping)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§0/§1.1 cite the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-oriented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 </w:t>
            </w:r>
            <w:r>
              <w:t xml:space="preserve">sketch for</w:t>
            </w:r>
            <w:r>
              <w:t xml:space="preserve"> </w:t>
            </w: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Not a true cross-doc contradiction —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 already reconciles the two representations internally and states the mapping. Consumers citing the</w:t>
            </w:r>
            <w:r>
              <w:t xml:space="preserve"> </w:t>
            </w:r>
            <w:r>
              <w:rPr>
                <w:rStyle w:val="VerbatimChar"/>
              </w:rPr>
              <w:t xml:space="preserve">001</w:t>
            </w:r>
            <w:r>
              <w:t xml:space="preserve"> </w:t>
            </w:r>
            <w:r>
              <w:t xml:space="preserve">sketch must use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names (see #I).</w:t>
            </w:r>
          </w:p>
        </w:tc>
        <w:tc>
          <w:tcPr/>
          <w:p>
            <w:pPr>
              <w:pStyle w:val="Compact"/>
            </w:pPr>
            <w:r>
              <w:t xml:space="preserve">Consumers use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column names; the</w:t>
            </w:r>
            <w:r>
              <w:t xml:space="preserve"> </w:t>
            </w:r>
            <w:r>
              <w:rPr>
                <w:rStyle w:val="VerbatimChar"/>
              </w:rPr>
              <w:t xml:space="preserve">TEXT↔UUID</w:t>
            </w:r>
            <w:r>
              <w:t xml:space="preserve"> </w:t>
            </w:r>
            <w:r>
              <w:t xml:space="preserve">mapping is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§4’s stated reconciliation.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(self-reconciled in SSOT)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resolvePublicKey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file:line citation</w:t>
            </w:r>
          </w:p>
        </w:tc>
        <w:tc>
          <w:tcPr/>
          <w:p>
            <w:pPr>
              <w:pStyle w:val="Compact"/>
            </w:pPr>
            <w:r>
              <w:t xml:space="preserve">The one function</w:t>
            </w:r>
            <w:r>
              <w:t xml:space="preserve"> </w:t>
            </w:r>
            <w:r>
              <w:rPr>
                <w:rStyle w:val="VerbatimChar"/>
              </w:rPr>
              <w:t xml:space="preserve">handlers_artifact.go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§6 /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§1.4 /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§1.2,§4.1 =</w:t>
            </w:r>
            <w:r>
              <w:t xml:space="preserve"> </w:t>
            </w:r>
            <w:r>
              <w:rPr>
                <w:rStyle w:val="VerbatimChar"/>
              </w:rPr>
              <w:t xml:space="preserve">274-283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§0,§3 /</w:t>
            </w:r>
            <w:r>
              <w:t xml:space="preserve"> 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§5 =</w:t>
            </w:r>
            <w:r>
              <w:t xml:space="preserve"> </w:t>
            </w:r>
            <w:r>
              <w:rPr>
                <w:rStyle w:val="VerbatimChar"/>
              </w:rPr>
              <w:t xml:space="preserve">283-288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26_</w:t>
            </w:r>
            <w:r>
              <w:t xml:space="preserve"> </w:t>
            </w:r>
            <w:r>
              <w:t xml:space="preserve">§0,§4 =</w:t>
            </w:r>
            <w:r>
              <w:t xml:space="preserve"> </w:t>
            </w:r>
            <w:r>
              <w:rPr>
                <w:rStyle w:val="VerbatimChar"/>
              </w:rPr>
              <w:t xml:space="preserve">274-288</w:t>
            </w:r>
          </w:p>
        </w:tc>
        <w:tc>
          <w:tcPr/>
          <w:p>
            <w:pPr>
              <w:pStyle w:val="Compact"/>
            </w:pPr>
            <w:r>
              <w:t xml:space="preserve">Three different line ranges cite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function — an INTEGRITY-family</w:t>
            </w:r>
            <w:r>
              <w:t xml:space="preserve"> </w:t>
            </w:r>
            <w:r>
              <w:t xml:space="preserve">“same referent, divergent representation”</w:t>
            </w:r>
            <w:r>
              <w:t xml:space="preserve"> </w:t>
            </w:r>
            <w:r>
              <w:t xml:space="preserve">nit (non-load-bearing; every doc agrees on the</w:t>
            </w:r>
            <w:r>
              <w:t xml:space="preserve"> </w:t>
            </w:r>
            <w:r>
              <w:rPr>
                <w:i/>
                <w:iCs/>
              </w:rPr>
              <w:t xml:space="preserve">behaviour</w:t>
            </w:r>
            <w:r>
              <w:t xml:space="preserve">: verify key from server config only).</w:t>
            </w:r>
          </w:p>
        </w:tc>
        <w:tc>
          <w:tcPr/>
          <w:p>
            <w:pPr>
              <w:pStyle w:val="Compact"/>
            </w:pPr>
            <w:r>
              <w:t xml:space="preserve">Pick one canonical range (the function’s true span) and use it across the set.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</w:t>
            </w:r>
            <w:r>
              <w:t xml:space="preserve"> </w:t>
            </w:r>
            <w:r>
              <w:t xml:space="preserve">(low, INTEGRITY nit)</w:t>
            </w:r>
          </w:p>
        </w:tc>
      </w:tr>
    </w:tbl>
    <w:bookmarkEnd w:id="10"/>
    <w:bookmarkStart w:id="11" w:name="X89224243a6c47a7e85cf9bb2f4911b978d0cf19"/>
    <w:p>
      <w:pPr>
        <w:pStyle w:val="Heading3"/>
      </w:pPr>
      <w:r>
        <w:t xml:space="preserve">1.3 The two load-bearing residuals (must fix before implementation)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#H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api_keys.project_id</w:t>
      </w:r>
      <w:r>
        <w:rPr>
          <w:b/>
          <w:bCs/>
        </w:rPr>
        <w:t xml:space="preserve"> </w:t>
      </w:r>
      <w:r>
        <w:rPr>
          <w:b/>
          <w:bCs/>
        </w:rPr>
        <w:t xml:space="preserve">absent from the SSOT DDL.</w:t>
      </w:r>
      <w:r>
        <w:t xml:space="preserve"> </w:t>
      </w:r>
      <w:r>
        <w:t xml:space="preserve">The project-CLI’s entire</w:t>
      </w:r>
      <w:r>
        <w:t xml:space="preserve"> </w:t>
      </w:r>
      <w:r>
        <w:t xml:space="preserve">“account-scoped, optionally project-narrowed key”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24_</w:t>
      </w:r>
      <w:r>
        <w:t xml:space="preserve"> </w:t>
      </w:r>
      <w:r>
        <w:t xml:space="preserve">§1.1,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§6.1,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§4.1) — including</w:t>
      </w:r>
      <w:r>
        <w:t xml:space="preserve"> </w:t>
      </w:r>
      <w:r>
        <w:t xml:space="preserve">“</w:t>
      </w:r>
      <w:r>
        <w:rPr>
          <w:rStyle w:val="VerbatimChar"/>
        </w:rPr>
        <w:t xml:space="preserve">NULL project_id</w:t>
      </w:r>
      <w:r>
        <w:t xml:space="preserve"> </w:t>
      </w:r>
      <w:r>
        <w:t xml:space="preserve">= any project in the account”</w:t>
      </w:r>
      <w:r>
        <w:t xml:space="preserve"> </w:t>
      </w:r>
      <w:r>
        <w:t xml:space="preserve">— has no</w:t>
      </w:r>
      <w:r>
        <w:t xml:space="preserve"> </w:t>
      </w:r>
      <w:r>
        <w:t xml:space="preserve">column to live on in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§4. Left unfixed, implementers would either invent the</w:t>
      </w:r>
      <w:r>
        <w:t xml:space="preserve"> </w:t>
      </w:r>
      <w:r>
        <w:t xml:space="preserve">column ad hoc (re-introducing the divergence §11.4.186 forbids) or drop</w:t>
      </w:r>
      <w:r>
        <w:t xml:space="preserve"> </w:t>
      </w:r>
      <w:r>
        <w:t xml:space="preserve">project-narrowing silently. Fix is a one-line additive column in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§4.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#J — legacy-token handling contradiction.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(fail-closed) and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(default-account fallback) prescribe</w:t>
      </w:r>
      <w:r>
        <w:t xml:space="preserve"> </w:t>
      </w:r>
      <w:r>
        <w:rPr>
          <w:b/>
          <w:bCs/>
        </w:rPr>
        <w:t xml:space="preserve">opposite security postures</w:t>
      </w:r>
      <w:r>
        <w:t xml:space="preserve"> </w:t>
      </w:r>
      <w:r>
        <w:t xml:space="preserve">for a legacy</w:t>
      </w:r>
      <w:r>
        <w:t xml:space="preserve"> </w:t>
      </w:r>
      <w:r>
        <w:t xml:space="preserve">token on a scoped route. This is precisely the</w:t>
      </w:r>
      <w:r>
        <w:t xml:space="preserve"> </w:t>
      </w:r>
      <w:r>
        <w:t xml:space="preserve">“same tracked data, two divergent</w:t>
      </w:r>
      <w:r>
        <w:t xml:space="preserve"> </w:t>
      </w:r>
      <w:r>
        <w:t xml:space="preserve">representations”</w:t>
      </w:r>
      <w:r>
        <w:t xml:space="preserve"> </w:t>
      </w:r>
      <w:r>
        <w:t xml:space="preserve">§11.4.186 exists to catch: shipping both as-written yields either a</w:t>
      </w:r>
      <w:r>
        <w:t xml:space="preserve"> </w:t>
      </w:r>
      <w:r>
        <w:t xml:space="preserve">fail-closed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 silently-scoped-to-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route depending on which doc the</w:t>
      </w:r>
      <w:r>
        <w:t xml:space="preserve"> </w:t>
      </w:r>
      <w:r>
        <w:t xml:space="preserve">implementer follows.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cedes authZ to</w:t>
      </w:r>
      <w:r>
        <w:t xml:space="preserve"> </w:t>
      </w:r>
      <w:r>
        <w:rPr>
          <w:rStyle w:val="VerbatimChar"/>
        </w:rPr>
        <w:t xml:space="preserve">21_</w:t>
      </w:r>
      <w:r>
        <w:t xml:space="preserve">, so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§3.3 Option A wins.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b9f72ba79fb8ba15e92bb981e8e6a4774c911ee"/>
    <w:p>
      <w:pPr>
        <w:pStyle w:val="Heading2"/>
      </w:pPr>
      <w:r>
        <w:t xml:space="preserve">2. Consolidated operator-decision register (approval-gate)</w:t>
      </w:r>
    </w:p>
    <w:p>
      <w:pPr>
        <w:pStyle w:val="FirstParagraph"/>
      </w:pPr>
      <w:r>
        <w:t xml:space="preserve">The single table to act on at the approval gate. Each decision is presented with its</w:t>
      </w:r>
      <w:r>
        <w:t xml:space="preserve"> </w:t>
      </w:r>
      <w:r>
        <w:t xml:space="preserve">options, the design’s recommendation + rationale, blast-radius/reversibility, and the</w:t>
      </w:r>
      <w:r>
        <w:t xml:space="preserve"> </w:t>
      </w:r>
      <w:r>
        <w:t xml:space="preserve">milestone it gates (sequenced by the delivery plan</w:t>
      </w:r>
      <w:r>
        <w:t xml:space="preserve"> </w:t>
      </w:r>
      <w:r>
        <w:rPr>
          <w:rStyle w:val="VerbatimChar"/>
        </w:rPr>
        <w:t xml:space="preserve">30_</w:t>
      </w:r>
      <w:r>
        <w:t xml:space="preserve">, planned per 00_INDEX §3).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 (source)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Design recommendation + rationale</w:t>
            </w:r>
          </w:p>
        </w:tc>
        <w:tc>
          <w:tcPr/>
          <w:p>
            <w:pPr>
              <w:pStyle w:val="Compact"/>
            </w:pPr>
            <w:r>
              <w:t xml:space="preserve">Blast-radius / reversibility</w:t>
            </w:r>
          </w:p>
        </w:tc>
        <w:tc>
          <w:tcPr/>
          <w:p>
            <w:pPr>
              <w:pStyle w:val="Compact"/>
            </w:pPr>
            <w:r>
              <w:t xml:space="preserve">Gates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“OpenCode”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 OpenDesign</w:t>
            </w:r>
            <w:r>
              <w:t xml:space="preserve"> </w:t>
            </w:r>
            <w:r>
              <w:t xml:space="preserve">(00_INDEX §5; resolved</w:t>
            </w:r>
            <w:r>
              <w:t xml:space="preserve"> </w:t>
            </w:r>
            <w:r>
              <w:rPr>
                <w:rStyle w:val="VerbatimChar"/>
              </w:rPr>
              <w:t xml:space="preserve">12_</w:t>
            </w:r>
            <w:r>
              <w:t xml:space="preserve">, carried</w:t>
            </w:r>
            <w:r>
              <w:t xml:space="preserve"> 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Honest-boundary as UNCONFIRMED)</w:t>
            </w:r>
          </w:p>
        </w:tc>
        <w:tc>
          <w:tcPr/>
          <w:p>
            <w:pPr>
              <w:pStyle w:val="Compact"/>
            </w:pPr>
            <w:r>
              <w:t xml:space="preserve">(a) OpenCode = the coding</w:t>
            </w:r>
            <w:r>
              <w:t xml:space="preserve"> </w:t>
            </w: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used to BUILD UI (3299 hits, only in</w:t>
            </w:r>
            <w:r>
              <w:t xml:space="preserve"> </w:t>
            </w:r>
            <w:r>
              <w:rPr>
                <w:rStyle w:val="VerbatimChar"/>
              </w:rPr>
              <w:t xml:space="preserve">llm_orchestrator</w:t>
            </w:r>
            <w:r>
              <w:t xml:space="preserve">/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adapters,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UI hits); OpenDesign = the mandated</w:t>
            </w:r>
            <w:r>
              <w:t xml:space="preserve"> </w:t>
            </w:r>
            <w:r>
              <w:rPr>
                <w:b/>
                <w:bCs/>
              </w:rPr>
              <w:t xml:space="preserve">design-token system</w:t>
            </w:r>
            <w:r>
              <w:t xml:space="preserve"> </w:t>
            </w:r>
            <w:r>
              <w:t xml:space="preserve">(§11.4.162) the built UI CONSUMES (already vendored</w:t>
            </w:r>
            <w:r>
              <w:t xml:space="preserve"> </w:t>
            </w:r>
            <w:r>
              <w:rPr>
                <w:rStyle w:val="VerbatimChar"/>
              </w:rPr>
              <w:t xml:space="preserve">design-systems/helix-ota/</w:t>
            </w:r>
            <w:r>
              <w:t xml:space="preserve">). (b) some other 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(a).</w:t>
            </w:r>
            <w:r>
              <w:t xml:space="preserve"> </w:t>
            </w:r>
            <w:r>
              <w:t xml:space="preserve">Evidence-grounded in</w:t>
            </w:r>
            <w:r>
              <w:t xml:space="preserve"> </w:t>
            </w:r>
            <w:r>
              <w:rPr>
                <w:rStyle w:val="VerbatimChar"/>
              </w:rPr>
              <w:t xml:space="preserve">12_</w:t>
            </w:r>
            <w:r>
              <w:t xml:space="preserve">; both statements are simultaneously true, flagged only because the mandate used the literal word</w:t>
            </w:r>
            <w:r>
              <w:t xml:space="preserve"> </w:t>
            </w:r>
            <w:r>
              <w:t xml:space="preserve">“OpenCode”</w:t>
            </w:r>
            <w:r>
              <w:t xml:space="preserve"> </w:t>
            </w:r>
            <w:r>
              <w:t xml:space="preserve">(§11.4.66).</w:t>
            </w:r>
          </w:p>
        </w:tc>
        <w:tc>
          <w:tcPr/>
          <w:p>
            <w:pPr>
              <w:pStyle w:val="Compact"/>
            </w:pPr>
            <w:r>
              <w:t xml:space="preserve">Near-zero; a naming clarification. Fully reversible.</w:t>
            </w:r>
          </w:p>
        </w:tc>
        <w:tc>
          <w:tcPr/>
          <w:p>
            <w:pPr>
              <w:pStyle w:val="Compact"/>
            </w:pPr>
            <w:r>
              <w:t xml:space="preserve">None hard — the UI milestone consumes OpenDesign tokens regardless of the OQ-1 label.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OQ-2 — permission-model shape</w:t>
            </w:r>
            <w:r>
              <w:t xml:space="preserve"> </w:t>
            </w:r>
            <w:r>
              <w:t xml:space="preserve">(00_INDEX §5; owner</w:t>
            </w:r>
            <w:r>
              <w:t xml:space="preserve"> 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§1)</w:t>
            </w:r>
          </w:p>
        </w:tc>
        <w:tc>
          <w:tcPr/>
          <w:p>
            <w:pPr>
              <w:pStyle w:val="Compact"/>
            </w:pPr>
            <w:r>
              <w:t xml:space="preserve">(a) pure tenant-scoped RBAC; (b) full ABAC policy engine (Cedar/OPA/Cerbos); (c)</w:t>
            </w:r>
            <w:r>
              <w:t xml:space="preserve"> </w:t>
            </w:r>
            <w:r>
              <w:rPr>
                <w:b/>
                <w:bCs/>
              </w:rPr>
              <w:t xml:space="preserve">role+scope 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(c), delivered RBAC-first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§1.2): a 3-step decision — tenant-isolation predicate (first) → RBAC role×resource matrix (the shipped</w:t>
            </w:r>
            <w:r>
              <w:t xml:space="preserve"> </w:t>
            </w:r>
            <w:r>
              <w:rPr>
                <w:rStyle w:val="VerbatimChar"/>
              </w:rPr>
              <w:t xml:space="preserve">RESOURCE_PERMISSIONS</w:t>
            </w:r>
            <w:r>
              <w:t xml:space="preserve"> </w:t>
            </w:r>
            <w:r>
              <w:t xml:space="preserve">grid promoted server-authoritative) → thin ABAC deny-override (suspended account / inactive user / revoked key). Reuses the shipped role hierarchy + rank tooling verbatim; closes the cross-account hole by construction; grows to custom-per-account roles via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§1.4’s reserved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/</w:t>
            </w:r>
            <w:r>
              <w:rPr>
                <w:rStyle w:val="VerbatimChar"/>
              </w:rPr>
              <w:t xml:space="preserve">permissions</w:t>
            </w:r>
            <w:r>
              <w:t xml:space="preserve">/</w:t>
            </w:r>
            <w:r>
              <w:rPr>
                <w:rStyle w:val="VerbatimChar"/>
              </w:rPr>
              <w:t xml:space="preserve">role_permissions</w:t>
            </w:r>
            <w:r>
              <w:t xml:space="preserve"> </w:t>
            </w:r>
            <w:r>
              <w:t xml:space="preserve">tables with</w:t>
            </w:r>
            <w:r>
              <w:t xml:space="preserve"> </w:t>
            </w:r>
            <w:r>
              <w:rPr>
                <w:b/>
                <w:bCs/>
              </w:rPr>
              <w:t xml:space="preserve">no second data-model change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design reach</w:t>
            </w:r>
            <w:r>
              <w:t xml:space="preserve"> </w:t>
            </w:r>
            <w:r>
              <w:t xml:space="preserve">(the whole authZ stack) but</w:t>
            </w:r>
            <w:r>
              <w:t xml:space="preserve"> </w:t>
            </w:r>
            <w:r>
              <w:rPr>
                <w:b/>
                <w:bCs/>
              </w:rPr>
              <w:t xml:space="preserve">reversible-additive</w:t>
            </w:r>
            <w:r>
              <w:t xml:space="preserve">: fixed enum now, reserved tables ship as commented DDL, full ABAC engine stays a documented future escalation.</w:t>
            </w:r>
          </w:p>
        </w:tc>
        <w:tc>
          <w:tcPr/>
          <w:p>
            <w:pPr>
              <w:pStyle w:val="Compact"/>
            </w:pPr>
            <w:r>
              <w:t xml:space="preserve">The authZ / permission-enforcement milestone (gates</w:t>
            </w:r>
            <w:r>
              <w:t xml:space="preserve"> </w:t>
            </w: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+ the server-authoritative matrix).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OQ-3 — identity source</w:t>
            </w:r>
            <w:r>
              <w:t xml:space="preserve"> </w:t>
            </w:r>
            <w:r>
              <w:t xml:space="preserve">(00_INDEX §5)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local accounts only</w:t>
            </w:r>
            <w:r>
              <w:t xml:space="preserve"> </w:t>
            </w:r>
            <w:r>
              <w:t xml:space="preserve">(super-admin-provisioned); (b) federated (OIDC/SAML)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local super-admin-provisioned users for now.</w:t>
            </w:r>
            <w:r>
              <w:t xml:space="preserve"> </w:t>
            </w:r>
            <w:r>
              <w:t xml:space="preserve">The directive implies it (00_INDEX §1.2 — no self-registration), and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§1.2</w:t>
            </w:r>
            <w:r>
              <w:t xml:space="preserve"> </w:t>
            </w:r>
            <w:r>
              <w:rPr>
                <w:rStyle w:val="VerbatimChar"/>
              </w:rPr>
              <w:t xml:space="preserve">User.password_hash</w:t>
            </w:r>
            <w:r>
              <w:t xml:space="preserve"> </w:t>
            </w:r>
            <w:r>
              <w:t xml:space="preserve">models local credentials; no to-be doc designs federation. Federation is a future escalation (a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identity-provider column + an IdP seam) — flag for the operator if a launch IdP is required.</w:t>
            </w:r>
          </w:p>
        </w:tc>
        <w:tc>
          <w:tcPr/>
          <w:p>
            <w:pPr>
              <w:pStyle w:val="Compact"/>
            </w:pPr>
            <w:r>
              <w:t xml:space="preserve">Moderate; local-first is</w:t>
            </w:r>
            <w:r>
              <w:t xml:space="preserve"> </w:t>
            </w:r>
            <w:r>
              <w:rPr>
                <w:b/>
                <w:bCs/>
              </w:rPr>
              <w:t xml:space="preserve">additive-compatible</w:t>
            </w:r>
            <w:r>
              <w:t xml:space="preserve"> </w:t>
            </w:r>
            <w:r>
              <w:t xml:space="preserve">with later federation (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gains an</w:t>
            </w:r>
            <w:r>
              <w:t xml:space="preserve"> </w:t>
            </w:r>
            <w:r>
              <w:rPr>
                <w:rStyle w:val="VerbatimChar"/>
              </w:rPr>
              <w:t xml:space="preserve">external_idp</w:t>
            </w:r>
            <w:r>
              <w:t xml:space="preserve">/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column; no rework of the account/membership model).</w:t>
            </w:r>
          </w:p>
        </w:tc>
        <w:tc>
          <w:tcPr/>
          <w:p>
            <w:pPr>
              <w:pStyle w:val="Compact"/>
            </w:pPr>
            <w:r>
              <w:t xml:space="preserve">The auth / user-provisioning milestone (super-admin</w:t>
            </w:r>
            <w:r>
              <w:t xml:space="preserve"> </w:t>
            </w:r>
            <w:r>
              <w:rPr>
                <w:rStyle w:val="VerbatimChar"/>
              </w:rPr>
              <w:t xml:space="preserve">POST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§1.2).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OQ-4 — migrate existing data under accounts</w:t>
            </w:r>
            <w:r>
              <w:t xml:space="preserve"> </w:t>
            </w:r>
            <w:r>
              <w:t xml:space="preserve">(00_INDEX §5; owner</w:t>
            </w:r>
            <w:r>
              <w:t xml:space="preserve"> 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§5)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default-account backfill</w:t>
            </w:r>
            <w:r>
              <w:t xml:space="preserve"> </w:t>
            </w:r>
            <w:r>
              <w:t xml:space="preserve">(big-bang →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); (b) additive-nullable-until-backfill (gradual)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default-account backfill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</w:t>
            </w:r>
            <w:r>
              <w:t xml:space="preserve"> </w:t>
            </w:r>
            <w:r>
              <w:t xml:space="preserve">§5):</w:t>
            </w:r>
            <w:r>
              <w:t xml:space="preserve"> </w:t>
            </w:r>
            <w:r>
              <w:rPr>
                <w:rStyle w:val="VerbatimChar"/>
              </w:rPr>
              <w:t xml:space="preserve">002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nullable → backfill every legacy row to a seeded</w:t>
            </w:r>
            <w:r>
              <w:t xml:space="preserve"> </w:t>
            </w:r>
            <w:r>
              <w:rPr>
                <w:rStyle w:val="VerbatimChar"/>
              </w:rPr>
              <w:t xml:space="preserve">__default__</w:t>
            </w:r>
            <w:r>
              <w:t xml:space="preserve"> </w:t>
            </w:r>
            <w:r>
              <w:t xml:space="preserve">account →</w:t>
            </w:r>
            <w:r>
              <w:t xml:space="preserve"> </w:t>
            </w:r>
            <w:r>
              <w:rPr>
                <w:rStyle w:val="VerbatimChar"/>
              </w:rPr>
              <w:t xml:space="preserve">003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+ per-account uniques + composite FKs + leading-column indexes + enables RLS. Removes the nullable-isolation-hole window entirely; near-free because the store is an in-memory MVP barely populated.</w:t>
            </w:r>
            <w:r>
              <w:t xml:space="preserve"> </w:t>
            </w:r>
            <w:r>
              <w:rPr>
                <w:b/>
                <w:bCs/>
              </w:rPr>
              <w:t xml:space="preserve">Flip to (b)</w:t>
            </w:r>
            <w:r>
              <w:t xml:space="preserve"> </w:t>
            </w:r>
            <w:r>
              <w:t xml:space="preserve">only if a target already holds meaningful prod data AND zero-downtime is mandatory (accept the interim NULL-scoping window, super-admin-only visibility).</w:t>
            </w:r>
            <w:r>
              <w:t xml:space="preserve"> </w:t>
            </w:r>
            <w:r>
              <w:rPr>
                <w:b/>
                <w:bCs/>
              </w:rPr>
              <w:t xml:space="preserve">Couples to #J</w:t>
            </w:r>
            <w:r>
              <w:t xml:space="preserve">: whichever is chosen, a legacy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is fail-closed (</w:t>
            </w:r>
            <w:r>
              <w:rPr>
                <w:rStyle w:val="VerbatimChar"/>
              </w:rPr>
              <w:t xml:space="preserve">21_</w:t>
            </w:r>
            <w:r>
              <w:t xml:space="preserve"> </w:t>
            </w:r>
            <w:r>
              <w:t xml:space="preserve">§3.3), not mapped to</w:t>
            </w:r>
            <w:r>
              <w:t xml:space="preserve"> </w:t>
            </w:r>
            <w:r>
              <w:rPr>
                <w:rStyle w:val="VerbatimChar"/>
              </w:rPr>
              <w:t xml:space="preserve">__default__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One coordinated</w:t>
            </w:r>
            <w:r>
              <w:t xml:space="preserve"> </w:t>
            </w:r>
            <w:r>
              <w:rPr>
                <w:rStyle w:val="VerbatimChar"/>
              </w:rPr>
              <w:t xml:space="preserve">003</w:t>
            </w:r>
            <w:r>
              <w:t xml:space="preserve"> </w:t>
            </w:r>
            <w:r>
              <w:t xml:space="preserve">cutover; additive columns then constraints (recoverable, backups per §9.2).</w:t>
            </w:r>
          </w:p>
        </w:tc>
        <w:tc>
          <w:tcPr/>
          <w:p>
            <w:pPr>
              <w:pStyle w:val="Compact"/>
            </w:pPr>
            <w:r>
              <w:t xml:space="preserve">The data-migration milestone —</w:t>
            </w:r>
            <w:r>
              <w:t xml:space="preserve"> </w:t>
            </w:r>
            <w:r>
              <w:rPr>
                <w:b/>
                <w:bCs/>
              </w:rPr>
              <w:t xml:space="preserve">must precede</w:t>
            </w:r>
            <w:r>
              <w:t xml:space="preserve"> </w:t>
            </w:r>
            <w:r>
              <w:t xml:space="preserve">RLS enable, per-account uniques, and any e2e isolation claim (</w:t>
            </w:r>
            <w:r>
              <w:rPr>
                <w:rStyle w:val="VerbatimChar"/>
              </w:rPr>
              <w:t xml:space="preserve">27_</w:t>
            </w:r>
            <w:r>
              <w:t xml:space="preserve"> </w:t>
            </w:r>
            <w:r>
              <w:t xml:space="preserve">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signing-key rollout</w:t>
            </w:r>
            <w:r>
              <w:t xml:space="preserve"> </w:t>
            </w:r>
            <w:r>
              <w:t xml:space="preserve">(owner</w:t>
            </w:r>
            <w:r>
              <w:t xml:space="preserve"> </w:t>
            </w:r>
            <w:r>
              <w:rPr>
                <w:rStyle w:val="VerbatimChar"/>
              </w:rPr>
              <w:t xml:space="preserve">26_</w:t>
            </w:r>
            <w:r>
              <w:t xml:space="preserve"> </w:t>
            </w:r>
            <w:r>
              <w:t xml:space="preserve">§4; consumers</w:t>
            </w:r>
            <w:r>
              <w:t xml:space="preserve"> 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§3,</w:t>
            </w:r>
            <w:r>
              <w:t xml:space="preserve"> 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§5,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§4.1)</w:t>
            </w:r>
          </w:p>
        </w:tc>
        <w:tc>
          <w:tcPr/>
          <w:p>
            <w:pPr>
              <w:pStyle w:val="Compact"/>
            </w:pPr>
            <w:r>
              <w:t xml:space="preserve">(a) keep one global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  <w:r>
              <w:t xml:space="preserve">; (b)</w:t>
            </w:r>
            <w:r>
              <w:t xml:space="preserve"> </w:t>
            </w:r>
            <w:r>
              <w:rPr>
                <w:b/>
                <w:bCs/>
              </w:rPr>
              <w:t xml:space="preserve">per-account key registry + global fallback</w:t>
            </w:r>
            <w:r>
              <w:t xml:space="preserve">; (c) TUF-style M-of-N thresholds (horizon)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per-account ed25519 verify-key registry</w:t>
            </w:r>
            <w:r>
              <w:t xml:space="preserve"> </w:t>
            </w:r>
            <w:r>
              <w:t xml:space="preserve">keyed on the resolved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 config-/KMS-backed, with the global key as a</w:t>
            </w:r>
            <w:r>
              <w:t xml:space="preserve"> </w:t>
            </w:r>
            <w:r>
              <w:rPr>
                <w:b/>
                <w:bCs/>
              </w:rPr>
              <w:t xml:space="preserve">migration fallback</w:t>
            </w:r>
            <w:r>
              <w:t xml:space="preserve">; the trust boundary is unchanged (verify key from server config/registry only, never the request — only the</w:t>
            </w:r>
            <w:r>
              <w:t xml:space="preserve"> </w:t>
            </w:r>
            <w:r>
              <w:rPr>
                <w:i/>
                <w:iCs/>
              </w:rPr>
              <w:t xml:space="preserve">lookup key</w:t>
            </w:r>
            <w:r>
              <w:t xml:space="preserve"> </w:t>
            </w:r>
            <w:r>
              <w:t xml:space="preserve">gains an account dimension). Device side verifies against its account’s key provisioned at enrollment from server config. TUF thresholds noted as the hardening horizon (§11.4.112), not built now.</w:t>
            </w:r>
          </w:p>
        </w:tc>
        <w:tc>
          <w:tcPr/>
          <w:p>
            <w:pPr>
              <w:pStyle w:val="Compact"/>
            </w:pPr>
            <w:r>
              <w:t xml:space="preserve">Moderate;</w:t>
            </w:r>
            <w:r>
              <w:t xml:space="preserve"> </w:t>
            </w:r>
            <w:r>
              <w:rPr>
                <w:b/>
                <w:bCs/>
              </w:rPr>
              <w:t xml:space="preserve">staged behind the global fallback</w:t>
            </w:r>
            <w:r>
              <w:t xml:space="preserve"> </w:t>
            </w:r>
            <w:r>
              <w:t xml:space="preserve">(additive, reversible per account). A shared global key is unacceptable long-term (any signer signs for the platform).</w:t>
            </w:r>
          </w:p>
        </w:tc>
        <w:tc>
          <w:tcPr/>
          <w:p>
            <w:pPr>
              <w:pStyle w:val="Compact"/>
            </w:pPr>
            <w:r>
              <w:t xml:space="preserve">The signing-key milestone — composes with per-account object storage + upload scoping;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§4.1 adds</w:t>
            </w:r>
            <w:r>
              <w:t xml:space="preserve"> </w:t>
            </w:r>
            <w:r>
              <w:rPr>
                <w:rStyle w:val="VerbatimChar"/>
              </w:rPr>
              <w:t xml:space="preserve">/admin/accounts/:accountId/signing-keys</w:t>
            </w:r>
            <w:r>
              <w:t xml:space="preserve">.</w:t>
            </w:r>
          </w:p>
        </w:tc>
      </w:tr>
    </w:tbl>
    <w:bookmarkStart w:id="13" w:name="X16ca4b95a5e42d13dfefd275bd4df45135ae4be"/>
    <w:p>
      <w:pPr>
        <w:pStyle w:val="Heading3"/>
      </w:pPr>
      <w:r>
        <w:t xml:space="preserve">2.1 Additional recommendation-with-tradeoffs decisions the set surfaces (secondary)</w:t>
      </w:r>
    </w:p>
    <w:p>
      <w:pPr>
        <w:pStyle w:val="FirstParagraph"/>
      </w:pPr>
      <w:r>
        <w:t xml:space="preserve">These are already recommended-with-tradeoffs in the owner docs (not open contradictions);</w:t>
      </w:r>
      <w:r>
        <w:t xml:space="preserve"> </w:t>
      </w:r>
      <w:r>
        <w:t xml:space="preserve">listed so the approval gate is complete. Each is reversible/additive along its recommended path.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(owner)</w:t>
            </w:r>
          </w:p>
        </w:tc>
        <w:tc>
          <w:tcPr/>
          <w:p>
            <w:pPr>
              <w:pStyle w:val="Compact"/>
            </w:pPr>
            <w:r>
              <w:t xml:space="preserve">Recommended path</w:t>
            </w:r>
          </w:p>
        </w:tc>
        <w:tc>
          <w:tcPr/>
          <w:p>
            <w:pPr>
              <w:pStyle w:val="Compact"/>
            </w:pPr>
            <w:r>
              <w:t xml:space="preserve">Alternative (condition to flip)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split (</w:t>
            </w:r>
            <w:r>
              <w:rPr>
                <w:rStyle w:val="VerbatimChar"/>
              </w:rPr>
              <w:t xml:space="preserve">23_</w:t>
            </w:r>
            <w:r>
              <w:t xml:space="preserve"> </w:t>
            </w:r>
            <w:r>
              <w:t xml:space="preserve">§1.2)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</w:t>
            </w:r>
            <w:r>
              <w:t xml:space="preserve"> </w:t>
            </w:r>
            <w:r>
              <w:t xml:space="preserve">— one form, post-auth role routing</w:t>
            </w:r>
          </w:p>
        </w:tc>
        <w:tc>
          <w:tcPr/>
          <w:p>
            <w:pPr>
              <w:pStyle w:val="Compact"/>
            </w:pPr>
            <w:r>
              <w:t xml:space="preserve">Option B (physically separate super-admin door + stronger MFA) if the operator wants a separate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key auth (</w:t>
            </w:r>
            <w:r>
              <w:rPr>
                <w:rStyle w:val="VerbatimChar"/>
              </w:rPr>
              <w:t xml:space="preserve">24_</w:t>
            </w:r>
            <w:r>
              <w:t xml:space="preserve"> </w:t>
            </w:r>
            <w:r>
              <w:t xml:space="preserve">§1.3)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</w:t>
            </w:r>
            <w:r>
              <w:t xml:space="preserve"> </w:t>
            </w:r>
            <w:r>
              <w:t xml:space="preserve">— key is an exchange credential (short-lived scoped token)</w:t>
            </w:r>
          </w:p>
        </w:tc>
        <w:tc>
          <w:tcPr/>
          <w:p>
            <w:pPr>
              <w:pStyle w:val="Compact"/>
            </w:pPr>
            <w:r>
              <w:t xml:space="preserve">Option A (direct-key Bearer) if the tenant claim is out of scope for milestone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enrollment (</w:t>
            </w:r>
            <w:r>
              <w:rPr>
                <w:rStyle w:val="VerbatimChar"/>
              </w:rPr>
              <w:t xml:space="preserve">25_</w:t>
            </w:r>
            <w:r>
              <w:t xml:space="preserve"> </w:t>
            </w:r>
            <w:r>
              <w:t xml:space="preserve">§1.3,</w:t>
            </w:r>
            <w:r>
              <w:t xml:space="preserve"> 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§4.2)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</w:t>
            </w:r>
            <w:r>
              <w:t xml:space="preserve"> </w:t>
            </w:r>
            <w:r>
              <w:t xml:space="preserve">— operator-minted scoped token</w:t>
            </w:r>
          </w:p>
        </w:tc>
        <w:tc>
          <w:tcPr/>
          <w:p>
            <w:pPr>
              <w:pStyle w:val="Compact"/>
            </w:pPr>
            <w:r>
              <w:t xml:space="preserve">Option B (bootstrap-claim → per-device token) for self-service / fleet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denial response (</w:t>
            </w:r>
            <w:r>
              <w:rPr>
                <w:rStyle w:val="VerbatimChar"/>
              </w:rPr>
              <w:t xml:space="preserve">22_</w:t>
            </w:r>
            <w:r>
              <w:t xml:space="preserve"> </w:t>
            </w:r>
            <w:r>
              <w:t xml:space="preserve">§6.2; hard rule deferred to</w:t>
            </w:r>
            <w:r>
              <w:t xml:space="preserve"> </w:t>
            </w:r>
            <w:r>
              <w:rPr>
                <w:rStyle w:val="VerbatimChar"/>
              </w:rPr>
              <w:t xml:space="preserve">26_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(anti-enumeration) for cross-account;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for in-account role gaps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throughout if diagnostic clarity is preferred —</w:t>
            </w:r>
            <w:r>
              <w:t xml:space="preserve"> </w:t>
            </w:r>
            <w:r>
              <w:rPr>
                <w:rStyle w:val="VerbatimChar"/>
              </w:rPr>
              <w:t xml:space="preserve">26_</w:t>
            </w:r>
            <w:r>
              <w:t xml:space="preserve"> </w:t>
            </w:r>
            <w:r>
              <w:t xml:space="preserve">binds the final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Dev-secret handling (</w:t>
            </w:r>
            <w:r>
              <w:rPr>
                <w:rStyle w:val="VerbatimChar"/>
              </w:rPr>
              <w:t xml:space="preserve">26_</w:t>
            </w:r>
            <w:r>
              <w:t xml:space="preserve"> </w:t>
            </w:r>
            <w:r>
              <w:t xml:space="preserve">§3.4/§6)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Fail-fast</w:t>
            </w:r>
            <w:r>
              <w:t xml:space="preserve"> </w:t>
            </w:r>
            <w:r>
              <w:t xml:space="preserve">on unset</w:t>
            </w:r>
            <w:r>
              <w:t xml:space="preserve"> </w:t>
            </w:r>
            <w:r>
              <w:rPr>
                <w:rStyle w:val="VerbatimChar"/>
              </w:rPr>
              <w:t xml:space="preserve">HELIX_TOKEN_SECRET</w:t>
            </w:r>
            <w:r>
              <w:t xml:space="preserve"> </w:t>
            </w:r>
            <w:r>
              <w:t xml:space="preserve">in a multi-account build</w:t>
            </w:r>
          </w:p>
        </w:tc>
        <w:tc>
          <w:tcPr/>
          <w:p>
            <w:pPr>
              <w:pStyle w:val="Compact"/>
            </w:pPr>
            <w:r>
              <w:t xml:space="preserve">(none recommended — the predictable dev fallback</w:t>
            </w:r>
            <w:r>
              <w:t xml:space="preserve"> </w:t>
            </w:r>
            <w:r>
              <w:rPr>
                <w:rStyle w:val="VerbatimChar"/>
              </w:rPr>
              <w:t xml:space="preserve">config.go:180-184</w:t>
            </w:r>
            <w:r>
              <w:t xml:space="preserve"> </w:t>
            </w:r>
            <w:r>
              <w:t xml:space="preserve">is a tenant-isolation break multi-tenant)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no-divergence-verdict"/>
    <w:p>
      <w:pPr>
        <w:pStyle w:val="Heading2"/>
      </w:pPr>
      <w:r>
        <w:t xml:space="preserve">3. No-divergence verdict</w:t>
      </w:r>
    </w:p>
    <w:p>
      <w:pPr>
        <w:pStyle w:val="FirstParagraph"/>
      </w:pPr>
      <w:r>
        <w:rPr>
          <w:b/>
          <w:bCs/>
        </w:rPr>
        <w:t xml:space="preserve">Verdict: CONDITIONAL PASS — internally consistent AFTER two blocking reconciliations</w:t>
      </w:r>
      <w:r>
        <w:rPr>
          <w:b/>
          <w:bCs/>
        </w:rPr>
        <w:t xml:space="preserve"> </w:t>
      </w:r>
      <w:r>
        <w:rPr>
          <w:b/>
          <w:bCs/>
        </w:rPr>
        <w:t xml:space="preserve">land; three low-risk RECONCILE items should follow.</w:t>
      </w:r>
    </w:p>
    <w:p>
      <w:pPr>
        <w:pStyle w:val="BodyText"/>
      </w:pPr>
      <w:r>
        <w:t xml:space="preserve">The set is</w:t>
      </w:r>
      <w:r>
        <w:t xml:space="preserve"> </w:t>
      </w:r>
      <w:r>
        <w:rPr>
          <w:b/>
          <w:bCs/>
        </w:rPr>
        <w:t xml:space="preserve">internally consistent</w:t>
      </w:r>
      <w:r>
        <w:t xml:space="preserve"> </w:t>
      </w:r>
      <w:r>
        <w:t xml:space="preserve">on every mandated cross-check where it matters most: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token claim set</w:t>
      </w:r>
      <w:r>
        <w:t xml:space="preserve"> </w:t>
      </w:r>
      <w:r>
        <w:t xml:space="preserve">(A),</w:t>
      </w:r>
      <w:r>
        <w:t xml:space="preserve"> </w:t>
      </w:r>
      <w:r>
        <w:rPr>
          <w:b/>
          <w:bCs/>
        </w:rPr>
        <w:t xml:space="preserve">account-scoping approach</w:t>
      </w:r>
      <w:r>
        <w:t xml:space="preserve"> </w:t>
      </w:r>
      <w:r>
        <w:t xml:space="preserve">(F),</w:t>
      </w:r>
      <w:r>
        <w:t xml:space="preserve"> </w:t>
      </w:r>
      <w:r>
        <w:rPr>
          <w:b/>
          <w:bCs/>
        </w:rPr>
        <w:t xml:space="preserve">role vocabulary at the</w:t>
      </w:r>
      <w:r>
        <w:rPr>
          <w:b/>
          <w:bCs/>
        </w:rPr>
        <w:t xml:space="preserve"> </w:t>
      </w:r>
      <w:r>
        <w:rPr>
          <w:b/>
          <w:bCs/>
        </w:rPr>
        <w:t xml:space="preserve">doc level</w:t>
      </w:r>
      <w:r>
        <w:t xml:space="preserve"> </w:t>
      </w:r>
      <w:r>
        <w:t xml:space="preserve">(E), the</w:t>
      </w:r>
      <w:r>
        <w:t xml:space="preserve"> 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(B), and</w:t>
      </w:r>
      <w:r>
        <w:t xml:space="preserve"> </w:t>
      </w:r>
      <w:r>
        <w:rPr>
          <w:b/>
          <w:bCs/>
        </w:rPr>
        <w:t xml:space="preserve">per-account signing keys</w:t>
      </w:r>
      <w:r>
        <w:t xml:space="preserve"> </w:t>
      </w:r>
      <w:r>
        <w:t xml:space="preserve">(G) all</w:t>
      </w:r>
      <w:r>
        <w:t xml:space="preserve"> </w:t>
      </w:r>
      <w:r>
        <w:t xml:space="preserve">agree across every doc that touches them, and the two framing tensions that could have</w:t>
      </w:r>
      <w:r>
        <w:t xml:space="preserve"> </w:t>
      </w:r>
      <w:r>
        <w:t xml:space="preserve">diverged —</w:t>
      </w:r>
      <w:r>
        <w:t xml:space="preserve"> </w:t>
      </w:r>
      <w:r>
        <w:rPr>
          <w:rStyle w:val="VerbatimChar"/>
        </w:rPr>
        <w:t xml:space="preserve">20_</w:t>
      </w:r>
      <w:r>
        <w:t xml:space="preserve">’s</w:t>
      </w:r>
      <w:r>
        <w:t xml:space="preserve"> </w:t>
      </w:r>
      <w:r>
        <w:t xml:space="preserve">“resolve-per-request”</w:t>
      </w:r>
      <w:r>
        <w:t xml:space="preserve"> </w:t>
      </w:r>
      <w:r>
        <w:t xml:space="preserve">vs</w:t>
      </w:r>
      <w:r>
        <w:t xml:space="preserve"> </w:t>
      </w:r>
      <w:r>
        <w:t xml:space="preserve">“stamp-claim”</w:t>
      </w:r>
      <w:r>
        <w:t xml:space="preserve"> </w:t>
      </w:r>
      <w:r>
        <w:t xml:space="preserve">(reconciled in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§2.2) and</w:t>
      </w:r>
      <w:r>
        <w:t xml:space="preserve"> </w:t>
      </w:r>
      <w:r>
        <w:rPr>
          <w:rStyle w:val="VerbatimChar"/>
        </w:rPr>
        <w:t xml:space="preserve">23_</w:t>
      </w:r>
      <w:r>
        <w:t xml:space="preserve">’s</w:t>
      </w:r>
      <w:r>
        <w:t xml:space="preserve"> </w:t>
      </w:r>
      <w:r>
        <w:t xml:space="preserve">“replace ProjectAccess?”</w:t>
      </w:r>
      <w:r>
        <w:t xml:space="preserve"> </w:t>
      </w:r>
      <w:r>
        <w:t xml:space="preserve">(resolved in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§2.3, both layers coexist) — were</w:t>
      </w:r>
      <w:r>
        <w:t xml:space="preserve"> </w:t>
      </w:r>
      <w:r>
        <w:rPr>
          <w:b/>
          <w:bCs/>
        </w:rPr>
        <w:t xml:space="preserve">already reconciled in-doc</w:t>
      </w:r>
      <w:r>
        <w:t xml:space="preserve">. The role-vocabulary and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-literal issues are</w:t>
      </w:r>
      <w:r>
        <w:t xml:space="preserve"> </w:t>
      </w:r>
      <w:r>
        <w:rPr>
          <w:b/>
          <w:bCs/>
        </w:rPr>
        <w:t xml:space="preserve">codebase</w:t>
      </w:r>
      <w:r>
        <w:t xml:space="preserve"> </w:t>
      </w:r>
      <w:r>
        <w:t xml:space="preserve">fixes owned by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§5 / flagged by</w:t>
      </w:r>
      <w:r>
        <w:t xml:space="preserve"> </w:t>
      </w:r>
      <w:r>
        <w:rPr>
          <w:rStyle w:val="VerbatimChar"/>
        </w:rPr>
        <w:t xml:space="preserve">23_</w:t>
      </w:r>
      <w:r>
        <w:t xml:space="preserve"> </w:t>
      </w:r>
      <w:r>
        <w:t xml:space="preserve">§5, not doc-to-doc contradictions.</w:t>
      </w:r>
    </w:p>
    <w:p>
      <w:pPr>
        <w:pStyle w:val="BodyText"/>
      </w:pPr>
      <w:r>
        <w:rPr>
          <w:b/>
          <w:bCs/>
        </w:rPr>
        <w:t xml:space="preserve">Two residual divergences MUST be fixed before implementation</w:t>
      </w:r>
      <w:r>
        <w:t xml:space="preserve"> </w:t>
      </w:r>
      <w:r>
        <w:t xml:space="preserve">(they are genuine</w:t>
      </w:r>
      <w:r>
        <w:t xml:space="preserve"> </w:t>
      </w:r>
      <w:r>
        <w:t xml:space="preserve">“same tracked data, two divergent representations”</w:t>
      </w:r>
      <w:r>
        <w:t xml:space="preserve"> </w:t>
      </w:r>
      <w:r>
        <w:t xml:space="preserve">of the §11.4.186 class):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#H —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api_keys.project_id</w:t>
      </w:r>
      <w:r>
        <w:rPr>
          <w:b/>
          <w:bCs/>
        </w:rPr>
        <w:t xml:space="preserve"> </w:t>
      </w:r>
      <w:r>
        <w:rPr>
          <w:b/>
          <w:bCs/>
        </w:rPr>
        <w:t xml:space="preserve">(nullable)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</w:t>
      </w:r>
      <w:r>
        <w:rPr>
          <w:b/>
          <w:bCs/>
        </w:rPr>
        <w:t xml:space="preserve"> </w:t>
      </w:r>
      <w:r>
        <w:rPr>
          <w:b/>
          <w:bCs/>
        </w:rPr>
        <w:t xml:space="preserve">§4.</w:t>
      </w:r>
      <w:r>
        <w:t xml:space="preserve"> </w:t>
      </w:r>
      <w:r>
        <w:t xml:space="preserve">Three docs (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§6.1,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§4.1,</w:t>
      </w:r>
      <w:r>
        <w:t xml:space="preserve"> </w:t>
      </w:r>
      <w:r>
        <w:rPr>
          <w:rStyle w:val="VerbatimChar"/>
        </w:rPr>
        <w:t xml:space="preserve">24_</w:t>
      </w:r>
      <w:r>
        <w:t xml:space="preserve"> </w:t>
      </w:r>
      <w:r>
        <w:t xml:space="preserve">§1.1) rely on a scope column the SSOT DDL omits.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#J — reconcile legacy-token handling: align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22_</w:t>
      </w:r>
      <w:r>
        <w:rPr>
          <w:b/>
          <w:bCs/>
        </w:rPr>
        <w:t xml:space="preserve"> </w:t>
      </w:r>
      <w:r>
        <w:rPr>
          <w:b/>
          <w:bCs/>
        </w:rPr>
        <w:t xml:space="preserve">§6.1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</w:t>
      </w:r>
      <w:r>
        <w:rPr>
          <w:b/>
          <w:bCs/>
        </w:rPr>
        <w:t xml:space="preserve"> </w:t>
      </w:r>
      <w:r>
        <w:rPr>
          <w:b/>
          <w:bCs/>
        </w:rPr>
        <w:t xml:space="preserve">§3.3 (fail-closed).</w:t>
      </w:r>
      <w:r>
        <w:t xml:space="preserve"> </w:t>
      </w:r>
      <w:r>
        <w:t xml:space="preserve">The two docs prescribe opposite security postures for a legacy no-account-claim token;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cedes authZ to</w:t>
      </w:r>
      <w:r>
        <w:t xml:space="preserve"> </w:t>
      </w:r>
      <w:r>
        <w:rPr>
          <w:rStyle w:val="VerbatimChar"/>
        </w:rPr>
        <w:t xml:space="preserve">21_</w:t>
      </w:r>
      <w:r>
        <w:t xml:space="preserve">, so fail-closed wins and the token→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fallback is struck.</w:t>
      </w:r>
    </w:p>
    <w:p>
      <w:pPr>
        <w:pStyle w:val="FirstParagraph"/>
      </w:pPr>
      <w:r>
        <w:rPr>
          <w:b/>
          <w:bCs/>
        </w:rPr>
        <w:t xml:space="preserve">Three low-risk RECONCILE items</w:t>
      </w:r>
      <w:r>
        <w:t xml:space="preserve"> </w:t>
      </w:r>
      <w:r>
        <w:t xml:space="preserve">should be applied in the same sweep (non-blocking but</w:t>
      </w:r>
      <w:r>
        <w:t xml:space="preserve"> </w:t>
      </w:r>
      <w:r>
        <w:t xml:space="preserve">divergence-eliminating): #D (</w:t>
      </w:r>
      <w:r>
        <w:rPr>
          <w:rStyle w:val="VerbatimChar"/>
        </w:rPr>
        <w:t xml:space="preserve">23_</w:t>
      </w:r>
      <w:r>
        <w:t xml:space="preserve"> </w:t>
      </w:r>
      <w:r>
        <w:rPr>
          <w:rStyle w:val="VerbatimChar"/>
        </w:rPr>
        <w:t xml:space="preserve">AccountAccess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rPr>
          <w:rStyle w:val="VerbatimChar"/>
        </w:rPr>
        <w:t xml:space="preserve">AccountMembership</w:t>
      </w:r>
      <w:r>
        <w:t xml:space="preserve">), #I (</w:t>
      </w:r>
      <w:r>
        <w:rPr>
          <w:rStyle w:val="VerbatimChar"/>
        </w:rPr>
        <w:t xml:space="preserve">24_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rPr>
          <w:rStyle w:val="VerbatimChar"/>
        </w:rPr>
        <w:t xml:space="preserve">api_key_id</w:t>
      </w:r>
      <w:r>
        <w:t xml:space="preserve">), #L (single canonical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line range); plus the</w:t>
      </w:r>
      <w:r>
        <w:t xml:space="preserve"> </w:t>
      </w:r>
      <w:r>
        <w:t xml:space="preserve">#C UI-</w:t>
      </w:r>
      <w:r>
        <w:rPr>
          <w:rStyle w:val="VerbatimChar"/>
        </w:rPr>
        <w:t xml:space="preserve">User</w:t>
      </w:r>
      <w:r>
        <w:t xml:space="preserve"> </w:t>
      </w:r>
      <w:r>
        <w:t xml:space="preserve">field note. With #H and #J fixed and #D/#I/#L/#C applied, the set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residual cross-document divergence</w:t>
      </w:r>
      <w:r>
        <w:t xml:space="preserve"> </w:t>
      </w:r>
      <w:r>
        <w:t xml:space="preserve">and is ready for the operator approval gate.</w:t>
      </w:r>
    </w:p>
    <w:p>
      <w:r>
        <w:pict>
          <v:rect style="width:0;height:1.5pt" o:hralign="center" o:hrstd="t" o:hr="t"/>
        </w:pict>
      </w:r>
    </w:p>
    <w:bookmarkEnd w:id="15"/>
    <w:bookmarkStart w:id="16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proves internal CONSISTENCY, not plan CORRECTNESS (§11.4.186 boundary).</w:t>
      </w:r>
      <w:r>
        <w:t xml:space="preserve"> </w:t>
      </w:r>
      <w:r>
        <w:t xml:space="preserve">The</w:t>
      </w:r>
      <w:r>
        <w:t xml:space="preserve"> </w:t>
      </w:r>
      <w:r>
        <w:t xml:space="preserve">verdict certifies that the docs do not contradict each other about the same tracked data</w:t>
      </w:r>
      <w:r>
        <w:t xml:space="preserve"> </w:t>
      </w:r>
      <w:r>
        <w:t xml:space="preserve">after the named fixes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that the shared-schema+RLS model, the</w:t>
      </w:r>
      <w:r>
        <w:t xml:space="preserve"> </w:t>
      </w:r>
      <w:r>
        <w:t xml:space="preserve">RBAC-first hybrid, the default-account backfill, or the per-account key registry are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choices, achievable on the target timeline, or free of design flaws. Those remain</w:t>
      </w:r>
      <w:r>
        <w:t xml:space="preserve"> </w:t>
      </w:r>
      <w:r>
        <w:t xml:space="preserve">operator/management + implementation-review decisions the register</w:t>
      </w:r>
      <w:r>
        <w:t xml:space="preserve"> </w:t>
      </w:r>
      <w:r>
        <w:rPr>
          <w:b/>
          <w:bCs/>
        </w:rPr>
        <w:t xml:space="preserve">surfaces</w:t>
      </w:r>
      <w:r>
        <w:t xml:space="preserve">, never</w:t>
      </w:r>
      <w:r>
        <w:t xml:space="preserve"> </w:t>
      </w:r>
      <w:r>
        <w:t xml:space="preserve">makes.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is a reconciliation report, not a rewrite.</w:t>
      </w:r>
      <w:r>
        <w:t xml:space="preserve"> </w:t>
      </w:r>
      <w:r>
        <w:t xml:space="preserve">Per the task and §11.4.186, no source</w:t>
      </w:r>
      <w:r>
        <w:t xml:space="preserve"> </w:t>
      </w:r>
      <w:r>
        <w:t xml:space="preserve">doc (</w:t>
      </w:r>
      <w:r>
        <w:rPr>
          <w:rStyle w:val="VerbatimChar"/>
        </w:rPr>
        <w:t xml:space="preserve">20_</w:t>
      </w:r>
      <w:r>
        <w:t xml:space="preserve">…</w:t>
      </w:r>
      <w:r>
        <w:rPr>
          <w:rStyle w:val="VerbatimChar"/>
        </w:rPr>
        <w:t xml:space="preserve">27_</w:t>
      </w:r>
      <w:r>
        <w:t xml:space="preserve">) was edited; the recommended alignments (#H amend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§4, #J align</w:t>
      </w:r>
      <w:r>
        <w:t xml:space="preserve"> </w:t>
      </w:r>
      <w:r>
        <w:rPr>
          <w:rStyle w:val="VerbatimChar"/>
        </w:rPr>
        <w:t xml:space="preserve">22_</w:t>
      </w:r>
      <w:r>
        <w:t xml:space="preserve"> </w:t>
      </w:r>
      <w:r>
        <w:t xml:space="preserve">§6.1 to</w:t>
      </w:r>
      <w:r>
        <w:t xml:space="preserve"> </w:t>
      </w:r>
      <w:r>
        <w:rPr>
          <w:rStyle w:val="VerbatimChar"/>
        </w:rPr>
        <w:t xml:space="preserve">21_</w:t>
      </w:r>
      <w:r>
        <w:t xml:space="preserve"> </w:t>
      </w:r>
      <w:r>
        <w:t xml:space="preserve">§3.3, #D/#I/#L/#C) are</w:t>
      </w:r>
      <w:r>
        <w:t xml:space="preserve"> </w:t>
      </w:r>
      <w:r>
        <w:rPr>
          <w:b/>
          <w:bCs/>
        </w:rPr>
        <w:t xml:space="preserve">proposals for the owner docs</w:t>
      </w:r>
      <w:r>
        <w:t xml:space="preserve">, to be applied</w:t>
      </w:r>
      <w:r>
        <w:t xml:space="preserve"> </w:t>
      </w:r>
      <w:r>
        <w:t xml:space="preserve">by their owners before implementation — this file only records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Grounding scope.</w:t>
      </w:r>
      <w:r>
        <w:t xml:space="preserve"> </w:t>
      </w:r>
      <w:r>
        <w:t xml:space="preserve">Every divergence claim is grounded in a</w:t>
      </w:r>
      <w:r>
        <w:t xml:space="preserve"> </w:t>
      </w:r>
      <w:r>
        <w:rPr>
          <w:rStyle w:val="VerbatimChar"/>
        </w:rPr>
        <w:t xml:space="preserve">doc §section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those docs established). The underlying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facts (e.g.</w:t>
      </w:r>
      <w:r>
        <w:t xml:space="preserve"> </w:t>
      </w:r>
      <w:r>
        <w:rPr>
          <w:rStyle w:val="VerbatimChar"/>
        </w:rPr>
        <w:t xml:space="preserve">api-client.ts:323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dashboard/src/types/api.ts:12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sidebar.tsx:20-21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</w:t>
      </w:r>
      <w:r>
        <w:t xml:space="preserve"> </w:t>
      </w:r>
      <w:r>
        <w:t xml:space="preserve">ranges,</w:t>
      </w:r>
      <w:r>
        <w:t xml:space="preserve"> </w:t>
      </w:r>
      <w:r>
        <w:rPr>
          <w:rStyle w:val="VerbatimChar"/>
        </w:rPr>
        <w:t xml:space="preserve">20_</w:t>
      </w:r>
      <w:r>
        <w:t xml:space="preserve"> </w:t>
      </w:r>
      <w:r>
        <w:t xml:space="preserve">§4 DDL lines) are</w:t>
      </w:r>
      <w:r>
        <w:t xml:space="preserve"> </w:t>
      </w:r>
      <w:r>
        <w:rPr>
          <w:b/>
          <w:bCs/>
        </w:rPr>
        <w:t xml:space="preserve">inherited from the eight docs as</w:t>
      </w:r>
      <w:r>
        <w:rPr>
          <w:b/>
          <w:bCs/>
        </w:rPr>
        <w:t xml:space="preserve"> </w:t>
      </w:r>
      <w:r>
        <w:rPr>
          <w:b/>
          <w:bCs/>
        </w:rPr>
        <w:t xml:space="preserve">they cite them</w:t>
      </w:r>
      <w:r>
        <w:t xml:space="preserve"> </w:t>
      </w:r>
      <w:r>
        <w:t xml:space="preserve">and were not independently re-read against source under this task — a</w:t>
      </w:r>
      <w:r>
        <w:t xml:space="preserve"> </w:t>
      </w:r>
      <w:r>
        <w:t xml:space="preserve">citation the source docs got wrong would propagate here (the docs’ own §11.4.6 boundaries</w:t>
      </w:r>
      <w:r>
        <w:t xml:space="preserve"> </w:t>
      </w:r>
      <w:r>
        <w:t xml:space="preserve">note their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set was established against non-test source only).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21_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</w:t>
      </w:r>
      <w:r>
        <w:rPr>
          <w:b/>
          <w:bCs/>
        </w:rPr>
        <w:t xml:space="preserve"> </w:t>
      </w:r>
      <w:r>
        <w:rPr>
          <w:b/>
          <w:bCs/>
        </w:rPr>
        <w:t xml:space="preserve">were authored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</w:t>
      </w:r>
      <w:r>
        <w:rPr>
          <w:b/>
          <w:bCs/>
        </w:rPr>
        <w:t xml:space="preserve"> </w:t>
      </w:r>
      <w:r>
        <w:rPr>
          <w:b/>
          <w:bCs/>
        </w:rPr>
        <w:t xml:space="preserve">and cite it;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23_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24_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25_</w:t>
      </w:r>
      <w:r>
        <w:rPr>
          <w:b/>
          <w:bCs/>
        </w:rPr>
        <w:t xml:space="preserve"> </w:t>
      </w:r>
      <w:r>
        <w:rPr>
          <w:b/>
          <w:bCs/>
        </w:rPr>
        <w:t xml:space="preserve">predate it and</w:t>
      </w:r>
      <w:r>
        <w:rPr>
          <w:b/>
          <w:bCs/>
        </w:rPr>
        <w:t xml:space="preserve"> </w:t>
      </w:r>
      <w:r>
        <w:rPr>
          <w:b/>
          <w:bCs/>
        </w:rPr>
        <w:t xml:space="preserve">self-mark their shapes illustrative</w:t>
      </w:r>
      <w:r>
        <w:t xml:space="preserve"> </w:t>
      </w:r>
      <w:r>
        <w:t xml:space="preserve">— so most pre-SSOT divergences are already</w:t>
      </w:r>
      <w:r>
        <w:t xml:space="preserve"> </w:t>
      </w:r>
      <w:r>
        <w:t xml:space="preserve">soft-committed to reconcile. The two RESIDUAL-BLOCKING items (#H, #J) are the exceptions:</w:t>
      </w:r>
      <w:r>
        <w:t xml:space="preserve"> </w:t>
      </w:r>
      <w:r>
        <w:t xml:space="preserve">#H is a</w:t>
      </w:r>
      <w:r>
        <w:t xml:space="preserve"> </w:t>
      </w:r>
      <w:r>
        <w:rPr>
          <w:b/>
          <w:bCs/>
        </w:rPr>
        <w:t xml:space="preserve">gap in the SSOT itself</w:t>
      </w:r>
      <w:r>
        <w:t xml:space="preserve"> </w:t>
      </w:r>
      <w:r>
        <w:t xml:space="preserve">(not a pre-SSOT drift), and #J is a</w:t>
      </w:r>
      <w:r>
        <w:t xml:space="preserve"> </w:t>
      </w:r>
      <w:r>
        <w:rPr>
          <w:b/>
          <w:bCs/>
        </w:rPr>
        <w:t xml:space="preserve">post-SSOT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contradiction between two docs that both cite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</w:t>
      </w:r>
      <w:r>
        <w:t xml:space="preserve"> </w:t>
      </w:r>
      <w:r>
        <w:t xml:space="preserve">— exactly the class that survives</w:t>
      </w:r>
      <w:r>
        <w:t xml:space="preserve"> </w:t>
      </w:r>
      <w:r>
        <w:t xml:space="preserve">“authored-after-SSOT”</w:t>
      </w:r>
      <w:r>
        <w:t xml:space="preserve"> </w:t>
      </w:r>
      <w:r>
        <w:t xml:space="preserve">and needs the explicit gate this report provides.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new external research</w:t>
      </w:r>
      <w:r>
        <w:t xml:space="preserve"> </w:t>
      </w:r>
      <w:r>
        <w:t xml:space="preserve">was performed (this is a §11.4.186 internal cross-document</w:t>
      </w:r>
      <w:r>
        <w:t xml:space="preserve"> </w:t>
      </w:r>
      <w:r>
        <w:t xml:space="preserve">pass, not a §11.4.99 latest-source verification); all five docs’</w:t>
      </w:r>
      <w:r>
        <w:t xml:space="preserve"> </w:t>
      </w:r>
      <w:r>
        <w:rPr>
          <w:rStyle w:val="VerbatimChar"/>
        </w:rPr>
        <w:t xml:space="preserve">## Sources verified 2026-07-10</w:t>
      </w:r>
      <w:r>
        <w:t xml:space="preserve"> </w:t>
      </w:r>
      <w:r>
        <w:t xml:space="preserve">footers stand as authored.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2026-07-10T15:43:54Z</dcterms:created>
  <dcterms:modified xsi:type="dcterms:W3CDTF">2026-07-10T15:43:54Z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