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Master Decision Register (expanded)</w:t>
      </w:r>
    </w:p>
    <w:bookmarkStart w:id="37" w:name="Xf63b29069d48d64cbf713df884233e7a495edde"/>
    <w:p>
      <w:pPr>
        <w:pStyle w:val="Heading1"/>
      </w:pPr>
      <w:r>
        <w:t xml:space="preserve">HelixVPN — Master Decision Register (expanded)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Volume 0 (Spine, meta &amp; governance) nano-detail document</w:t>
      </w:r>
      <w:r>
        <w:t xml:space="preserve"> </w:t>
      </w:r>
      <w:r>
        <w:rPr>
          <w:b/>
          <w:bCs/>
        </w:rPr>
        <w:t xml:space="preserve">Rev 3 (2026-07-04 hardening pass):</w:t>
      </w:r>
      <w:r>
        <w:t xml:space="preserve"> </w:t>
      </w:r>
      <w:r>
        <w:t xml:space="preserve">Independently re-verified this whole register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, and every owning volume doc during a full-corpus</w:t>
      </w:r>
      <w:r>
        <w:t xml:space="preserve"> </w:t>
      </w:r>
      <w:r>
        <w:t xml:space="preserve">hardening pass — no contradictions found (this register was already internally consistent and</w:t>
      </w:r>
      <w:r>
        <w:t xml:space="preserve"> </w:t>
      </w:r>
      <w:r>
        <w:t xml:space="preserve">accurate; a genuinely rare result across the corpus). One clarifying cross-reference added: D-PKI-</w:t>
      </w:r>
      <w:r>
        <w:t xml:space="preserve"> </w:t>
      </w:r>
      <w:r>
        <w:t xml:space="preserve">CA-TIER's owning doc (</w:t>
      </w:r>
      <w:r>
        <w:rPr>
          <w:rStyle w:val="VerbatimChar"/>
        </w:rPr>
        <w:t xml:space="preserve">v05-security/pki-and-certs.md</w:t>
      </w:r>
      <w:r>
        <w:t xml:space="preserve"> </w:t>
      </w:r>
      <w:r>
        <w:t xml:space="preserve">§2.1) now composes with a</w:t>
      </w:r>
      <w:r>
        <w:t xml:space="preserve"> </w:t>
      </w:r>
      <w:r>
        <w:rPr>
          <w:b/>
          <w:bCs/>
        </w:rPr>
        <w:t xml:space="preserve">new operational</w:t>
      </w:r>
      <w:r>
        <w:rPr>
          <w:b/>
          <w:bCs/>
        </w:rPr>
        <w:t xml:space="preserve"> </w:t>
      </w:r>
      <w:r>
        <w:rPr>
          <w:b/>
          <w:bCs/>
        </w:rPr>
        <w:t xml:space="preserve">distinction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during this pass — CA rotation is split into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scheduled</w:t>
      </w:r>
      <w:r>
        <w:t xml:space="preserve"> </w:t>
      </w:r>
      <w:r>
        <w:t xml:space="preserve">path (24h trust-overlap, routine) and a</w:t>
      </w:r>
      <w:r>
        <w:t xml:space="preserve"> </w:t>
      </w:r>
      <w:r>
        <w:rPr>
          <w:i/>
          <w:iCs/>
        </w:rPr>
        <w:t xml:space="preserve">compromise</w:t>
      </w:r>
      <w:r>
        <w:t xml:space="preserve"> </w:t>
      </w:r>
      <w:r>
        <w:t xml:space="preserve">path (immediate, zero-overlap,</w:t>
      </w:r>
      <w:r>
        <w:t xml:space="preserve"> </w:t>
      </w:r>
      <w:r>
        <w:t xml:space="preserve">force-revoke-and-re-enroll) — which sharpens (but does not change) this register's D-PKI-CA-TIER</w:t>
      </w:r>
      <w:r>
        <w:t xml:space="preserve"> </w:t>
      </w:r>
      <w:r>
        <w:t xml:space="preserve">reversal criterion ("operational evidence the single online issuing CA is a bottleneck"): a</w:t>
      </w:r>
      <w:r>
        <w:t xml:space="preserve"> </w:t>
      </w:r>
      <w:r>
        <w:rPr>
          <w:i/>
          <w:iCs/>
        </w:rPr>
        <w:t xml:space="preserve">compromise</w:t>
      </w:r>
      <w:r>
        <w:t xml:space="preserve"> </w:t>
      </w:r>
      <w:r>
        <w:t xml:space="preserve">event is now handled as its own incident path distinct from a</w:t>
      </w:r>
      <w:r>
        <w:t xml:space="preserve"> </w:t>
      </w:r>
      <w:r>
        <w:rPr>
          <w:i/>
          <w:iCs/>
        </w:rPr>
        <w:t xml:space="preserve">bottleneck</w:t>
      </w:r>
      <w:r>
        <w:t xml:space="preserve"> </w:t>
      </w:r>
      <w:r>
        <w:t xml:space="preserve">reversal</w:t>
      </w:r>
      <w:r>
        <w:t xml:space="preserve"> </w:t>
      </w:r>
      <w:r>
        <w:t xml:space="preserve">trigger, so the two are no longer conflated in the implementation the way they briefly were before</w:t>
      </w:r>
      <w:r>
        <w:t xml:space="preserve"> </w:t>
      </w:r>
      <w:r>
        <w:t xml:space="preserve">this pass. No decision status changed.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 the §0-mandated explicit reversal line to the seven §4 decisions that lacked one (D-AC-1, D-OPENAPI-AUTHORING, D-CODEGEN-TRACK, D-K8S-EDGE-INGRESS, D-K8S-PG-HA, D-GW-SELECT, D-DESIGN-EXTRACT); fixed the §1 D4 "Resolved by" cross-ref</w:t>
      </w:r>
      <w:r>
        <w:t xml:space="preserve"> </w:t>
      </w:r>
      <w:r>
        <w:rPr>
          <w:rStyle w:val="VerbatimChar"/>
        </w:rPr>
        <w:t xml:space="preserve">doc 04/svc-ipam.md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v03-control-plane/svc-ipam.md</w:t>
      </w:r>
      <w:r>
        <w:t xml:space="preserve"> </w:t>
      </w:r>
      <w:r>
        <w:t xml:space="preserve">(svc-ipam.md is a Volume-3 doc).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Subordinate to</w:t>
      </w:r>
      <w:r>
        <w:t xml:space="preserve"> </w:t>
      </w:r>
      <w:hyperlink r:id="rId9">
        <w:r>
          <w:rPr>
            <w:rStyle w:val="VerbatimChar"/>
          </w:rPr>
          <w:t xml:space="preserve">../SPECIFICATION.md</w:t>
        </w:r>
      </w:hyperlink>
      <w:r>
        <w:t xml:space="preserve"> </w:t>
      </w:r>
      <w:r>
        <w:t xml:space="preserve">§9 (the spine decision register D1–D8, which this document expands). Where this register disagrees with the spine on a spine decision's camps or recommendation, the spine wins until amended per §11.4.73. The expansion-surfaced decisions (the</w:t>
      </w:r>
      <w:r>
        <w:t xml:space="preserve"> </w:t>
      </w:r>
      <w:r>
        <w:rPr>
          <w:rStyle w:val="VerbatimChar"/>
        </w:rPr>
        <w:t xml:space="preserve">D-…</w:t>
      </w:r>
      <w:r>
        <w:t xml:space="preserve"> </w:t>
      </w:r>
      <w:r>
        <w:t xml:space="preserve">family) are owned by their volume docs and consolidated here per §11.4.66/.101 (no decision silently resolved).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The single consolidated decision register for the whole</w:t>
      </w:r>
      <w:r>
        <w:t xml:space="preserve"> </w:t>
      </w:r>
      <w:r>
        <w:t xml:space="preserve">HelixVPN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set. It (1) expands the eight spine decisions</w:t>
      </w:r>
      <w:r>
        <w:t xml:space="preserve"> </w:t>
      </w:r>
      <w:r>
        <w:rPr>
          <w:b/>
          <w:bCs/>
        </w:rPr>
        <w:t xml:space="preserve">D1–D8</w:t>
      </w:r>
      <w:r>
        <w:t xml:space="preserve"> </w:t>
      </w:r>
      <w:r>
        <w:t xml:space="preserve">with</w:t>
      </w:r>
      <w:r>
        <w:t xml:space="preserve"> </w:t>
      </w:r>
      <w:r>
        <w:t xml:space="preserve">the full options, rationale, the gate/evidence that resolves each, and reversal</w:t>
      </w:r>
      <w:r>
        <w:t xml:space="preserve"> </w:t>
      </w:r>
      <w:r>
        <w:t xml:space="preserve">criteria; and (2) catalogues every</w:t>
      </w:r>
      <w:r>
        <w:t xml:space="preserve"> </w:t>
      </w:r>
      <w:r>
        <w:rPr>
          <w:b/>
          <w:bCs/>
        </w:rPr>
        <w:t xml:space="preserve">expansion-surfaced 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D-…</w:t>
      </w:r>
      <w:r>
        <w:t xml:space="preserve">) the</w:t>
      </w:r>
      <w:r>
        <w:t xml:space="preserve"> </w:t>
      </w:r>
      <w:r>
        <w:t xml:space="preserve">nano-detail volumes raised — PKI CA tiering, audit enum, codegen tracking, K8s</w:t>
      </w:r>
      <w:r>
        <w:t xml:space="preserve"> </w:t>
      </w:r>
      <w:r>
        <w:t xml:space="preserve">ingress/PG-HA, gateway selection, the OpenDesign reconciliation, the repo/design</w:t>
      </w:r>
      <w:r>
        <w:t xml:space="preserve"> </w:t>
      </w:r>
      <w:r>
        <w:t xml:space="preserve">extraction timing, and the per-platform/per-client/per-FFI choices — each with</w:t>
      </w:r>
      <w:r>
        <w:t xml:space="preserve"> </w:t>
      </w:r>
      <w:r>
        <w:t xml:space="preserve">its owning doc, recommendation, and reversal trigger. Per §11.4.6 no decision is</w:t>
      </w:r>
      <w:r>
        <w:t xml:space="preserve"> </w:t>
      </w:r>
      <w:r>
        <w:t xml:space="preserve">presented as settled when the spine marks it open; per §11.4.101 an irreversible /</w:t>
      </w:r>
      <w:r>
        <w:t xml:space="preserve"> </w:t>
      </w:r>
      <w:r>
        <w:t xml:space="preserve">high-blast-radius decision is operator-gated and named as such.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ee130130466a6f958b0d93467442081ede5812">
        <w:r>
          <w:rPr>
            <w:rStyle w:val="Hyperlink"/>
          </w:rPr>
          <w:t xml:space="preserve">0. How a decision is recorded</w:t>
        </w:r>
      </w:hyperlink>
    </w:p>
    <w:p>
      <w:pPr>
        <w:pStyle w:val="Compact"/>
        <w:numPr>
          <w:ilvl w:val="0"/>
          <w:numId w:val="1001"/>
        </w:numPr>
      </w:pPr>
      <w:hyperlink w:anchor="X694cc83fe78f6c1e6711208e728b7346a632b37">
        <w:r>
          <w:rPr>
            <w:rStyle w:val="Hyperlink"/>
          </w:rPr>
          <w:t xml:space="preserve">1. Spine decisions D1–D8 (the master register)</w:t>
        </w:r>
      </w:hyperlink>
    </w:p>
    <w:p>
      <w:pPr>
        <w:pStyle w:val="Compact"/>
        <w:numPr>
          <w:ilvl w:val="0"/>
          <w:numId w:val="1001"/>
        </w:numPr>
      </w:pPr>
      <w:hyperlink w:anchor="Xdf17a693660f3da78f7308a956182c24727656b">
        <w:r>
          <w:rPr>
            <w:rStyle w:val="Hyperlink"/>
          </w:rPr>
          <w:t xml:space="preserve">2. Spine decisions — per-decision detail</w:t>
        </w:r>
      </w:hyperlink>
    </w:p>
    <w:p>
      <w:pPr>
        <w:pStyle w:val="Compact"/>
        <w:numPr>
          <w:ilvl w:val="0"/>
          <w:numId w:val="1001"/>
        </w:numPr>
      </w:pPr>
      <w:hyperlink w:anchor="X35287601a37e867df2df230002e0c5abf01106f">
        <w:r>
          <w:rPr>
            <w:rStyle w:val="Hyperlink"/>
          </w:rPr>
          <w:t xml:space="preserve">3. Expansion-surfaced decisions (the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D-…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family) — index</w:t>
        </w:r>
      </w:hyperlink>
    </w:p>
    <w:p>
      <w:pPr>
        <w:pStyle w:val="Compact"/>
        <w:numPr>
          <w:ilvl w:val="0"/>
          <w:numId w:val="1001"/>
        </w:numPr>
      </w:pPr>
      <w:hyperlink w:anchor="X0b295661bf60efe1a0986be030d668aaa5713de">
        <w:r>
          <w:rPr>
            <w:rStyle w:val="Hyperlink"/>
          </w:rPr>
          <w:t xml:space="preserve">4. Expansion-surfaced decisions — per-decision detail</w:t>
        </w:r>
      </w:hyperlink>
    </w:p>
    <w:p>
      <w:pPr>
        <w:pStyle w:val="Compact"/>
        <w:numPr>
          <w:ilvl w:val="0"/>
          <w:numId w:val="1001"/>
        </w:numPr>
      </w:pPr>
      <w:hyperlink w:anchor="X57330dd4598208a8ca241d8e7e6738ec0f5408f">
        <w:r>
          <w:rPr>
            <w:rStyle w:val="Hyperlink"/>
          </w:rPr>
          <w:t xml:space="preserve">5. The gate → decision resolution map</w:t>
        </w:r>
      </w:hyperlink>
    </w:p>
    <w:p>
      <w:pPr>
        <w:pStyle w:val="Compact"/>
        <w:numPr>
          <w:ilvl w:val="0"/>
          <w:numId w:val="1001"/>
        </w:numPr>
      </w:pPr>
      <w:hyperlink w:anchor="Xa41afe25d05ab1542de5f78461e3938646d6939">
        <w:r>
          <w:rPr>
            <w:rStyle w:val="Hyperlink"/>
          </w:rPr>
          <w:t xml:space="preserve">6. Reversal-criteria summary (when a settled call re-opens)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cee130130466a6f958b0d93467442081ede5812"/>
    <w:p>
      <w:pPr>
        <w:pStyle w:val="Heading2"/>
      </w:pPr>
      <w:r>
        <w:t xml:space="preserve">0. How a decision is recorded</w:t>
      </w:r>
    </w:p>
    <w:p>
      <w:pPr>
        <w:pStyle w:val="FirstParagraph"/>
      </w:pPr>
      <w:r>
        <w:t xml:space="preserve">Per §11.4.66 (interactive-clarification / options-not-free-text) and §11.4.101</w:t>
      </w:r>
      <w:r>
        <w:t xml:space="preserve"> </w:t>
      </w:r>
      <w:r>
        <w:t xml:space="preserve">(autonomous-decision-over-blocking), every open or surfaced decision carries six</w:t>
      </w:r>
      <w:r>
        <w:t xml:space="preserve"> </w:t>
      </w:r>
      <w:r>
        <w:t xml:space="preserve">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</w:t>
            </w:r>
            <w:r>
              <w:t xml:space="preserve"> </w:t>
            </w:r>
            <w:r>
              <w:t xml:space="preserve">(spine) or</w:t>
            </w:r>
            <w:r>
              <w:t xml:space="preserve"> </w:t>
            </w:r>
            <w:r>
              <w:rPr>
                <w:rStyle w:val="VerbatimChar"/>
              </w:rPr>
              <w:t xml:space="preserve">D-…</w:t>
            </w:r>
            <w:r>
              <w:t xml:space="preserve"> </w:t>
            </w:r>
            <w:r>
              <w:t xml:space="preserve">(expansion-surfaced), stable.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the one-sentence question.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the mutually-exclusive camps/choices (Camp A / Camp B / a/b/c).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the current best call (which may be "defer", "both", or a safe default per §11.4.101).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by</w:t>
            </w:r>
          </w:p>
        </w:tc>
        <w:tc>
          <w:tcPr/>
          <w:p>
            <w:pPr>
              <w:pStyle w:val="Compact"/>
            </w:pPr>
            <w:r>
              <w:t xml:space="preserve">the named gate (G1–G6), benchmark, or owning doc + operator trigger that converts the recommendation into a binding fact.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Reversal criteria</w:t>
            </w:r>
          </w:p>
        </w:tc>
        <w:tc>
          <w:tcPr/>
          <w:p>
            <w:pPr>
              <w:pStyle w:val="Compact"/>
            </w:pPr>
            <w:r>
              <w:t xml:space="preserve">the captured evidence that re-opens a settled call (§11.4.6 — a settled call is never silently un-settled; §11.4.7 demotion needs same-conditions evidence).</w:t>
            </w:r>
          </w:p>
        </w:tc>
      </w:tr>
    </w:tbl>
    <w:p>
      <w:pPr>
        <w:pStyle w:val="BodyText"/>
      </w:pPr>
      <w:r>
        <w:t xml:space="preserve">A recommendation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resolution: a decision is resolved only when its</w:t>
      </w:r>
      <w:r>
        <w:t xml:space="preserve"> </w:t>
      </w:r>
      <w:r>
        <w:rPr>
          <w:i/>
          <w:iCs/>
        </w:rPr>
        <w:t xml:space="preserve">Resolved by</w:t>
      </w:r>
      <w:r>
        <w:t xml:space="preserve"> </w:t>
      </w:r>
      <w:r>
        <w:t xml:space="preserve">gate produces captured evidence (§11.4.5/.69/.107) or its operator</w:t>
      </w:r>
      <w:r>
        <w:t xml:space="preserve"> </w:t>
      </w:r>
      <w:r>
        <w:t xml:space="preserve">trigger fires. Decisions with an irreversible / high-blast-radius action (D8</w:t>
      </w:r>
      <w:r>
        <w:t xml:space="preserve"> </w:t>
      </w:r>
      <w:r>
        <w:t xml:space="preserve">licensing, repo creation, force-history) are operator-gated (§11.4.101 / §11.4.113).</w:t>
      </w:r>
    </w:p>
    <w:p>
      <w:r>
        <w:pict>
          <v:rect style="width:0;height:1.5pt" o:hralign="center" o:hrstd="t" o:hr="t"/>
        </w:pict>
      </w:r>
    </w:p>
    <w:bookmarkEnd w:id="11"/>
    <w:bookmarkStart w:id="12" w:name="X694cc83fe78f6c1e6711208e728b7346a632b37"/>
    <w:p>
      <w:pPr>
        <w:pStyle w:val="Heading2"/>
      </w:pPr>
      <w:r>
        <w:t xml:space="preserve">1. Spine decisions D1–D8 (the master register)</w:t>
      </w:r>
    </w:p>
    <w:p>
      <w:pPr>
        <w:pStyle w:val="FirstParagraph"/>
      </w:pPr>
      <w:r>
        <w:t xml:space="preserve">Reproduced from [SPEC §9] with the resolution gate and reversal criteria made</w:t>
      </w:r>
      <w:r>
        <w:t xml:space="preserve"> </w:t>
      </w:r>
      <w:r>
        <w:t xml:space="preserve">explicit. The camps are the source-research camps ([99] decision cross-check).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Resolved by</w:t>
            </w:r>
          </w:p>
        </w:tc>
        <w:tc>
          <w:tcPr/>
          <w:p>
            <w:pPr>
              <w:pStyle w:val="Compact"/>
            </w:pPr>
            <w:r>
              <w:t xml:space="preserve">Reversal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Primary obfuscating 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MASQUE/QUIC</w:t>
            </w:r>
            <w:r>
              <w:t xml:space="preserve"> </w:t>
            </w:r>
            <w:r>
              <w:t xml:space="preserve">= WG-over-HTTP-3 (RFC 9298/9297/9221) — Mullvad's actual 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Hysteria2 + Salamander</w:t>
            </w:r>
            <w:r>
              <w:t xml:space="preserve"> </w:t>
            </w:r>
            <w:r>
              <w:t xml:space="preserve">turnkey QUIC+obfs primary, WG fallback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 primary</w:t>
            </w:r>
            <w:r>
              <w:t xml:space="preserve"> </w:t>
            </w:r>
            <w:r>
              <w:t xml:space="preserve">for true Mullvad parity + single Rust impl; keep Hysteria2 knobs as a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doc 01 +</w:t>
            </w:r>
            <w:r>
              <w:t xml:space="preserve"> </w:t>
            </w:r>
            <w:r>
              <w:rPr>
                <w:b/>
                <w:bCs/>
              </w:rPr>
              <w:t xml:space="preserve">gate G2</w:t>
            </w:r>
            <w:r>
              <w:t xml:space="preserve"> </w:t>
            </w:r>
            <w:r>
              <w:t xml:space="preserve">(MASQUE survives DPI ≥50% plain-WG)</w:t>
            </w:r>
          </w:p>
        </w:tc>
        <w:tc>
          <w:tcPr/>
          <w:p>
            <w:pPr>
              <w:pStyle w:val="Compact"/>
            </w:pPr>
            <w:r>
              <w:t xml:space="preserve">G2 fails to reach ≥50% AND a Hysteria2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build measurably beats it under the same DPI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Shared client-core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core + Flutter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core + Flutter UI (reuses Hysteria2 Go)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— wins on iOS NE memory ceiling + WASM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G3</w:t>
            </w:r>
            <w:r>
              <w:t xml:space="preserve"> </w:t>
            </w:r>
            <w:r>
              <w:t xml:space="preserve">(iOS NE runs the Rust core with ≥30% headroom)</w:t>
            </w:r>
          </w:p>
        </w:tc>
        <w:tc>
          <w:tcPr/>
          <w:p>
            <w:pPr>
              <w:pStyle w:val="Compact"/>
            </w:pPr>
            <w:r>
              <w:t xml:space="preserve">G3 fails: Rust cannot fit the iOS NE ceiling with headroom → D2 and the whole client strategy re-open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Streams</w:t>
            </w:r>
            <w:r>
              <w:t xml:space="preserve"> </w:t>
            </w:r>
            <w:r>
              <w:t xml:space="preserve">(MVP) → NATS JetStream (scale)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NATS JetStream</w:t>
            </w:r>
            <w:r>
              <w:t xml:space="preserve"> </w:t>
            </w:r>
            <w:r>
              <w:t xml:space="preserve">from 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Streams MVP, NATS Phase 2</w:t>
            </w:r>
            <w:r>
              <w:t xml:space="preserve"> </w:t>
            </w:r>
            <w:r>
              <w:t xml:space="preserve">— the taxonomy is bus-agnostic, swap is transport-only</w:t>
            </w:r>
          </w:p>
        </w:tc>
        <w:tc>
          <w:tcPr/>
          <w:p>
            <w:pPr>
              <w:pStyle w:val="Compact"/>
            </w:pPr>
            <w:r>
              <w:t xml:space="preserve">doc 02 (</w:t>
            </w:r>
            <w:r>
              <w:rPr>
                <w:rStyle w:val="VerbatimChar"/>
              </w:rPr>
              <w:t xml:space="preserve">svc-events.md</w:t>
            </w:r>
            <w:r>
              <w:t xml:space="preserve">) + a Phase-2 bus-swap integration test</w:t>
            </w:r>
          </w:p>
        </w:tc>
        <w:tc>
          <w:tcPr/>
          <w:p>
            <w:pPr>
              <w:pStyle w:val="Compact"/>
            </w:pPr>
            <w:r>
              <w:t xml:space="preserve">a homelab-scale Redis Streams build cannot hold the convergence SLO at MVP scale (would pull NATS earlier)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Overlapping-RFC1918 collision across N nets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IPv6 ULA /48 per tenant + 4via6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CGNAT 100.64/10 1:1 per network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4via6</w:t>
            </w:r>
            <w:r>
              <w:t xml:space="preserve"> </w:t>
            </w:r>
            <w:r>
              <w:t xml:space="preserve">for scale + clean overlay; hide the mapping behind Console UX (a v1 must-decide)</w:t>
            </w:r>
          </w:p>
        </w:tc>
        <w:tc>
          <w:tcPr/>
          <w:p>
            <w:pPr>
              <w:pStyle w:val="Compact"/>
            </w:pPr>
            <w:r>
              <w:t xml:space="preserve">doc 01 (routing) +</w:t>
            </w:r>
            <w:r>
              <w:t xml:space="preserve"> </w:t>
            </w:r>
            <w:r>
              <w:rPr>
                <w:rStyle w:val="VerbatimChar"/>
              </w:rPr>
              <w:t xml:space="preserve">v03-control-plane/svc-ipam.md</w:t>
            </w:r>
            <w:r>
              <w:t xml:space="preserve"> </w:t>
            </w:r>
            <w:r>
              <w:t xml:space="preserve">+ an MVP multi-connector overlap test</w:t>
            </w:r>
          </w:p>
        </w:tc>
        <w:tc>
          <w:tcPr/>
          <w:p>
            <w:pPr>
              <w:pStyle w:val="Compact"/>
            </w:pPr>
            <w:r>
              <w:t xml:space="preserve">4via6 client/OS support proves inadequate on a target platform → fall back to documented per-network NAT (FR-303 already provisions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Gateway-edge language (MASQUE termination)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, shares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byte-for-byte)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quic-go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masque-go</w:t>
            </w:r>
            <w:r>
              <w:t xml:space="preserve"> </w:t>
            </w:r>
            <w:r>
              <w:t xml:space="preserve">turnkey)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if G4 holds — single-implementation guarantee; else Go acceptable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G4</w:t>
            </w:r>
            <w:r>
              <w:t xml:space="preserve"> </w:t>
            </w:r>
            <w:r>
              <w:t xml:space="preserve">(Go-vs-Rust edge head-to-head: throughput/CPU/p99)</w:t>
            </w:r>
          </w:p>
        </w:tc>
        <w:tc>
          <w:tcPr/>
          <w:p>
            <w:pPr>
              <w:pStyle w:val="Compact"/>
            </w:pPr>
            <w:r>
              <w:t xml:space="preserve">G4 shows Go materially ahead on edge throughput/CPU AND the single-impl reuse benefit is judged not worth the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Transport topology</w:t>
            </w:r>
          </w:p>
        </w:tc>
        <w:tc>
          <w:tcPr/>
          <w:p>
            <w:pPr>
              <w:pStyle w:val="Compact"/>
            </w:pPr>
            <w:r>
              <w:t xml:space="preserve">single protocol end-to-end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per-leg</w:t>
            </w:r>
            <w:r>
              <w:t xml:space="preserve"> </w:t>
            </w:r>
            <w:r>
              <w:t xml:space="preserve">(Hysteria2/QUIC user↔gateway, WG gateway↔networks)</w:t>
            </w:r>
          </w:p>
        </w:tc>
        <w:tc>
          <w:tcPr/>
          <w:p>
            <w:pPr>
              <w:pStyle w:val="Compact"/>
            </w:pPr>
            <w:r>
              <w:t xml:space="preserve">surface MST's best-fit-per-leg as a</w:t>
            </w:r>
            <w:r>
              <w:t xml:space="preserve"> </w:t>
            </w:r>
            <w:r>
              <w:rPr>
                <w:b/>
                <w:bCs/>
              </w:rPr>
              <w:t xml:space="preserve">Phase-2 option</w:t>
            </w:r>
            <w:r>
              <w:t xml:space="preserve">; MVP keeps WG end-to-end with pluggable transport</w:t>
            </w:r>
          </w:p>
        </w:tc>
        <w:tc>
          <w:tcPr/>
          <w:p>
            <w:pPr>
              <w:pStyle w:val="Compact"/>
            </w:pPr>
            <w:r>
              <w:t xml:space="preserve">doc 01 +</w:t>
            </w:r>
            <w:r>
              <w:t xml:space="preserve"> </w:t>
            </w:r>
            <w:r>
              <w:rPr>
                <w:rStyle w:val="VerbatimChar"/>
              </w:rPr>
              <w:t xml:space="preserve">svc-coordinator.md</w:t>
            </w:r>
            <w:r>
              <w:t xml:space="preserve"> </w:t>
            </w:r>
            <w:r>
              <w:t xml:space="preserve">per-leg transport policy (Phase-2)</w:t>
            </w:r>
          </w:p>
        </w:tc>
        <w:tc>
          <w:tcPr/>
          <w:p>
            <w:pPr>
              <w:pStyle w:val="Compact"/>
            </w:pPr>
            <w:r>
              <w:t xml:space="preserve">a per-leg deployment measurably beats end-to-end WG under real DPI without breaking the single-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MVP ambition</w:t>
            </w:r>
          </w:p>
        </w:tc>
        <w:tc>
          <w:tcPr/>
          <w:p>
            <w:pPr>
              <w:pStyle w:val="Compact"/>
            </w:pPr>
            <w:r>
              <w:t xml:space="preserve">lean tunnel-first (CLI 2-host → API → apps)</w:t>
            </w:r>
          </w:p>
        </w:tc>
        <w:tc>
          <w:tcPr/>
          <w:p>
            <w:pPr>
              <w:pStyle w:val="Compact"/>
            </w:pPr>
            <w:r>
              <w:t xml:space="preserve">full ecosystem / "Connectivity-OS" from 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Phase-0 spike then MVP</w:t>
            </w:r>
            <w:r>
              <w:t xml:space="preserve">; defer the ecosystem to Phase 2/3</w:t>
            </w:r>
          </w:p>
        </w:tc>
        <w:tc>
          <w:tcPr/>
          <w:p>
            <w:pPr>
              <w:pStyle w:val="Compact"/>
            </w:pPr>
            <w:r>
              <w:t xml:space="preserve">§8 roadmap (the phase gates themselves)</w:t>
            </w:r>
          </w:p>
        </w:tc>
        <w:tc>
          <w:tcPr/>
          <w:p>
            <w:pPr>
              <w:pStyle w:val="Compact"/>
            </w:pPr>
            <w:r>
              <w:t xml:space="preserve">operator re-scopes the program (a §11.4.66 decision), not an evidence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Licensing / positioning</w:t>
            </w:r>
          </w:p>
        </w:tc>
        <w:tc>
          <w:tcPr/>
          <w:p>
            <w:pPr>
              <w:pStyle w:val="Compact"/>
            </w:pPr>
            <w:r>
              <w:t xml:space="preserve">source-available + commercial</w:t>
            </w:r>
          </w:p>
        </w:tc>
        <w:tc>
          <w:tcPr/>
          <w:p>
            <w:pPr>
              <w:pStyle w:val="Compact"/>
            </w:pPr>
            <w:r>
              <w:t xml:space="preserve">pure OSS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 before public release</w:t>
            </w:r>
            <w:r>
              <w:t xml:space="preserve">; same code serves self-host + managed</w:t>
            </w:r>
          </w:p>
        </w:tc>
        <w:tc>
          <w:tcPr/>
          <w:p>
            <w:pPr>
              <w:pStyle w:val="Compact"/>
            </w:pPr>
            <w:r>
              <w:t xml:space="preserve">pre-Phase-3</w:t>
            </w:r>
            <w:r>
              <w:t xml:space="preserve"> </w:t>
            </w:r>
            <w:r>
              <w:rPr>
                <w:b/>
                <w:bCs/>
              </w:rPr>
              <w:t xml:space="preserve">operator decision</w:t>
            </w:r>
            <w:r>
              <w:t xml:space="preserve"> </w:t>
            </w:r>
            <w:r>
              <w:t xml:space="preserve">(§11.4.101 — irreversible/high-blast-radius)</w:t>
            </w:r>
          </w:p>
        </w:tc>
        <w:tc>
          <w:tcPr/>
          <w:p>
            <w:pPr>
              <w:pStyle w:val="Compact"/>
            </w:pPr>
            <w:r>
              <w:t xml:space="preserve">n/a until the operator decides; the choice is reversible only at high cost once public, hence the pre-release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1" w:name="Xdf17a693660f3da78f7308a956182c24727656b"/>
    <w:p>
      <w:pPr>
        <w:pStyle w:val="Heading2"/>
      </w:pPr>
      <w:r>
        <w:t xml:space="preserve">2. Spine decisions — per-decision detail</w:t>
      </w:r>
    </w:p>
    <w:bookmarkStart w:id="13" w:name="d1--primary-obfuscating-transport"/>
    <w:p>
      <w:pPr>
        <w:pStyle w:val="Heading3"/>
      </w:pPr>
      <w:r>
        <w:t xml:space="preserve">D1 — Primary obfuscating transport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question.</w:t>
      </w:r>
      <w:r>
        <w:t xml:space="preserve"> </w:t>
      </w:r>
      <w:r>
        <w:t xml:space="preserve">Which transport is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censorship-evasion carrier under WireGuard?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the single decision that defines whether HelixVPN reaches genuine Mullvad parity. The pivotal correction (</w:t>
      </w:r>
      <w:r>
        <w:rPr>
          <w:rStyle w:val="VerbatimChar"/>
        </w:rPr>
        <w:t xml:space="preserve">[04_ARCH §1]</w:t>
      </w:r>
      <w:r>
        <w:t xml:space="preserve">):</w:t>
      </w:r>
      <w:r>
        <w:t xml:space="preserve"> </w:t>
      </w:r>
      <w:r>
        <w:rPr>
          <w:b/>
          <w:bCs/>
        </w:rPr>
        <w:t xml:space="preserve">Mullvad's "QUIC mode" is not a separate protocol — it IS WireGuard-over-MASQUE/HTTP-3.</w:t>
      </w:r>
      <w:r>
        <w:t xml:space="preserve"> </w:t>
      </w:r>
      <w:r>
        <w:t xml:space="preserve">Choosing MASQUE is choosing Mullvad's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mechanism, not an analogue.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 A (MASQUE/QUIC, recommended).</w:t>
      </w:r>
      <w:r>
        <w:t xml:space="preserve"> </w:t>
      </w:r>
      <w:r>
        <w:t xml:space="preserve">WG datagrams ride RFC 9298 CONNECT-UDP over HTTP/3, framed to look like web traffic. One Rust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impl serves client + edge. (</w:t>
      </w:r>
      <w:r>
        <w:rPr>
          <w:rStyle w:val="VerbatimChar"/>
        </w:rPr>
        <w:t xml:space="preserve">v02-data-plane/transport-masque-quic.md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 B (Hysteria2+Salamander).</w:t>
      </w:r>
      <w:r>
        <w:t xml:space="preserve"> </w:t>
      </w:r>
      <w:r>
        <w:t xml:space="preserve">A turnkey QUIC+obfs protocol the plurality of the 10 analyses favoured for speed-to-ship; HelixVPN keeps its tuning knobs as a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reference rather than adopting the protocol. (08; 99)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Resolved by.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G2</w:t>
      </w:r>
      <w:r>
        <w:t xml:space="preserve"> </w:t>
      </w:r>
      <w:r>
        <w:t xml:space="preserve">— MASQUE survives an nftables UDP block at ≥50% of plain-WG throughput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captured). (06; HVPN-NFR-002)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A captured G2 failure to clear ≥50%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head-to-head where a Hysteria2-tuned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build clears the bar the MASQUE framing could not, under the same DPI sim (§11.4.7 same-conditions evidence).</w:t>
      </w:r>
    </w:p>
    <w:bookmarkEnd w:id="13"/>
    <w:bookmarkStart w:id="14" w:name="d2--shared-client-core-language"/>
    <w:p>
      <w:pPr>
        <w:pStyle w:val="Heading3"/>
      </w:pPr>
      <w:r>
        <w:t xml:space="preserve">D2 — Shared client-core language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question.</w:t>
      </w:r>
      <w:r>
        <w:t xml:space="preserve"> </w:t>
      </w:r>
      <w:r>
        <w:t xml:space="preserve">Rust or Go for 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shared by client + connector + edge?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iOS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memory ceiling (historically ~15 MB) is the hardest constraint in the whole product (HVPN-NFR-500); Go's runtime/GC footprint is the risk. WASM reach (browser MASQUE proxy) also favours Rust.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 A (Rust, recommended; CLD chose it).</w:t>
      </w:r>
      <w:r>
        <w:t xml:space="preserve"> </w:t>
      </w:r>
      <w:r>
        <w:t xml:space="preserve">Fits the NE ceiling, compiles to WASM, gives byte-for-byte client↔edge reuse. (03)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 B (Go).</w:t>
      </w:r>
      <w:r>
        <w:t xml:space="preserve"> </w:t>
      </w:r>
      <w:r>
        <w:t xml:space="preserve">Reuses Hysteria2's Go implementation, single-language with the control plane (DSK/GMI/GCT). (99)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Resolved by.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G3</w:t>
      </w:r>
      <w:r>
        <w:t xml:space="preserve"> </w:t>
      </w:r>
      <w:r>
        <w:t xml:space="preserve">(make-or-break) — on-device RSS profile shows ≥30% headroom under the NE ceiling. The overview names G3 as the literal decider for D2.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G3 captured failure: if Rust cannot fit the NE ceiling with headroom,</w:t>
      </w:r>
      <w:r>
        <w:t xml:space="preserve"> </w:t>
      </w:r>
      <w:r>
        <w:rPr>
          <w:b/>
          <w:bCs/>
        </w:rPr>
        <w:t xml:space="preserve">D2 and the entire client strategy re-open</w:t>
      </w:r>
      <w:r>
        <w:t xml:space="preserve"> </w:t>
      </w:r>
      <w:r>
        <w:t xml:space="preserve">(the program's pivot, HVPN-NFR-500).</w:t>
      </w:r>
    </w:p>
    <w:bookmarkEnd w:id="14"/>
    <w:bookmarkStart w:id="15" w:name="d3--event-bus"/>
    <w:p>
      <w:pPr>
        <w:pStyle w:val="Heading3"/>
      </w:pPr>
      <w:r>
        <w:t xml:space="preserve">D3 — Event bus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question.</w:t>
      </w:r>
      <w:r>
        <w:t xml:space="preserve"> </w:t>
      </w:r>
      <w:r>
        <w:t xml:space="preserve">Redis Streams or NATS JetStream for the real-time event backbone?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Convergence (p99 &lt; 1s) rides the bus; but the bus is behind a transport-agnostic interface, so the choice is a transport swap, not a redesign.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 A (Redis MVP → NATS scale, recommended).</w:t>
      </w:r>
      <w:r>
        <w:t xml:space="preserve"> </w:t>
      </w:r>
      <w:r>
        <w:t xml:space="preserve">Redis Streams + consumer groups +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DLQ for the single-node MVP; swap to NATS JetStream at multi-region scale. (</w:t>
      </w:r>
      <w:r>
        <w:rPr>
          <w:rStyle w:val="VerbatimChar"/>
        </w:rPr>
        <w:t xml:space="preserve">v03-control-plane/svc-events.md</w:t>
      </w:r>
      <w:r>
        <w:t xml:space="preserve">; restated at the wiring layer in</w:t>
      </w:r>
      <w:r>
        <w:t xml:space="preserve"> </w:t>
      </w:r>
      <w:r>
        <w:rPr>
          <w:rStyle w:val="VerbatimChar"/>
        </w:rPr>
        <w:t xml:space="preserve">architecture-and-wiring.md</w:t>
      </w:r>
      <w:r>
        <w:t xml:space="preserve"> </w:t>
      </w:r>
      <w:r>
        <w:t xml:space="preserve">§)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 B (NATS from start).</w:t>
      </w:r>
      <w:r>
        <w:t xml:space="preserve"> </w:t>
      </w:r>
      <w:r>
        <w:t xml:space="preserve">DSK/KMI; avoids the later swap at the cost of MVP heft.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Resolved by.</w:t>
      </w:r>
      <w:r>
        <w:t xml:space="preserve"> </w:t>
      </w:r>
      <w:r>
        <w:t xml:space="preserve">doc 02 fixes the MVP bus; a Phase-2 bus-swap integration test (HVPN-NFR-108) proves the interface is genuinely transport-agnostic.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A homelab-scale Redis Streams build that cannot hold the convergence SLO would pull NATS earlier (captured load evidence).</w:t>
      </w:r>
    </w:p>
    <w:bookmarkEnd w:id="15"/>
    <w:bookmarkStart w:id="16" w:name="d4--overlapping-rfc1918-collision"/>
    <w:p>
      <w:pPr>
        <w:pStyle w:val="Heading3"/>
      </w:pPr>
      <w:r>
        <w:t xml:space="preserve">D4 — Overlapping-RFC1918 collision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question.</w:t>
      </w:r>
      <w:r>
        <w:t xml:space="preserve"> </w:t>
      </w:r>
      <w:r>
        <w:t xml:space="preserve">How does one user reach N networks that all expose e.g.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without collision?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Camp A (ULA /48 + 4via6, recommended).</w:t>
      </w:r>
      <w:r>
        <w:t xml:space="preserve"> </w:t>
      </w:r>
      <w:r>
        <w:t xml:space="preserve">Each tenant gets an IPv6 ULA /48; advertised IPv4 LANs map into it via 4via6, so overlapping ranges become distinct address spaces; per-network NAT is the documented fallback (FR-303 provisions it). (</w:t>
      </w:r>
      <w:r>
        <w:rPr>
          <w:rStyle w:val="VerbatimChar"/>
        </w:rPr>
        <w:t xml:space="preserve">v02-data-plane/routing-and-addressing.md</w:t>
      </w:r>
      <w:r>
        <w:t xml:space="preserve">;</w:t>
      </w:r>
      <w:r>
        <w:t xml:space="preserve"> </w:t>
      </w:r>
      <w:r>
        <w:rPr>
          <w:rStyle w:val="VerbatimChar"/>
        </w:rPr>
        <w:t xml:space="preserve">v03-control-plane/svc-ipam.md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Camp B (CGNAT 100.64/10 1:1).</w:t>
      </w:r>
      <w:r>
        <w:t xml:space="preserve"> </w:t>
      </w:r>
      <w:r>
        <w:t xml:space="preserve">GMI/KMI; a per-network 1:1 map in the shared CGNAT space.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Resolved by.</w:t>
      </w:r>
      <w:r>
        <w:t xml:space="preserve"> </w:t>
      </w:r>
      <w:r>
        <w:t xml:space="preserve">doc 01 (routing) +</w:t>
      </w:r>
      <w:r>
        <w:t xml:space="preserve"> </w:t>
      </w:r>
      <w:r>
        <w:rPr>
          <w:rStyle w:val="VerbatimChar"/>
        </w:rPr>
        <w:t xml:space="preserve">svc-ipam.md</w:t>
      </w:r>
      <w:r>
        <w:t xml:space="preserve"> </w:t>
      </w:r>
      <w:r>
        <w:t xml:space="preserve">+ an MVP multi-connector overlap test (FR-302). A</w:t>
      </w:r>
      <w:r>
        <w:t xml:space="preserve"> </w:t>
      </w:r>
      <w:r>
        <w:rPr>
          <w:b/>
          <w:bCs/>
        </w:rPr>
        <w:t xml:space="preserve">v1 must-decide</w:t>
      </w:r>
      <w:r>
        <w:t xml:space="preserve"> </w:t>
      </w:r>
      <w:r>
        <w:t xml:space="preserve">— the recommendation is binding for MVP.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4via6 proves inadequate on a target platform/OS → fall back to the already-provisioned per-network NAT path.</w:t>
      </w:r>
    </w:p>
    <w:bookmarkEnd w:id="16"/>
    <w:bookmarkStart w:id="17" w:name="d5--gateway-edge-language"/>
    <w:p>
      <w:pPr>
        <w:pStyle w:val="Heading3"/>
      </w:pPr>
      <w:r>
        <w:t xml:space="preserve">D5 — Gateway-edge language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question.</w:t>
      </w:r>
      <w:r>
        <w:t xml:space="preserve"> </w:t>
      </w:r>
      <w:r>
        <w:t xml:space="preserve">Rust or Go to</w:t>
      </w:r>
      <w:r>
        <w:t xml:space="preserve"> </w:t>
      </w:r>
      <w:r>
        <w:rPr>
          <w:i/>
          <w:iCs/>
        </w:rPr>
        <w:t xml:space="preserve">terminate</w:t>
      </w:r>
      <w:r>
        <w:t xml:space="preserve"> </w:t>
      </w:r>
      <w:r>
        <w:t xml:space="preserve">MASQUE at the gateway edge?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 A (Rust, recommended if G4 holds).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+</w:t>
      </w:r>
      <w:r>
        <w:rPr>
          <w:rStyle w:val="VerbatimChar"/>
        </w:rPr>
        <w:t xml:space="preserve">h3</w:t>
      </w:r>
      <w:r>
        <w:t xml:space="preserve"> </w:t>
      </w:r>
      <w:r>
        <w:t xml:space="preserve">shares the client's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byte-for-byte (one obfuscate/de-obfuscate implementation).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 B (Go).</w:t>
      </w:r>
      <w:r>
        <w:t xml:space="preserve"> </w:t>
      </w:r>
      <w:r>
        <w:rPr>
          <w:rStyle w:val="VerbatimChar"/>
        </w:rPr>
        <w:t xml:space="preserve">quic-go</w:t>
      </w:r>
      <w:r>
        <w:t xml:space="preserve">+</w:t>
      </w:r>
      <w:r>
        <w:rPr>
          <w:rStyle w:val="VerbatimChar"/>
        </w:rPr>
        <w:t xml:space="preserve">masque-go</w:t>
      </w:r>
      <w:r>
        <w:t xml:space="preserve"> </w:t>
      </w:r>
      <w:r>
        <w:t xml:space="preserve">turnkey, faster to integrate.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Resolved by.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G4</w:t>
      </w:r>
      <w:r>
        <w:t xml:space="preserve"> </w:t>
      </w:r>
      <w:r>
        <w:t xml:space="preserve">— Go-vs-Rust edge head-to-head (throughput/CPU/p99). Rust wins unless Go is materially ahead.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G4 shows Go materially ahead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single-impl reuse benefit is judged not worth the gap (a captured-benchmark + judgment call).</w:t>
      </w:r>
    </w:p>
    <w:bookmarkEnd w:id="17"/>
    <w:bookmarkStart w:id="18" w:name="d6--transport-topology"/>
    <w:p>
      <w:pPr>
        <w:pStyle w:val="Heading3"/>
      </w:pPr>
      <w:r>
        <w:t xml:space="preserve">D6 — Transport topology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question.</w:t>
      </w:r>
      <w:r>
        <w:t xml:space="preserve"> </w:t>
      </w:r>
      <w:r>
        <w:t xml:space="preserve">One protocol end-to-end, or best-fit per leg?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Camp A (single protocol, MVP).</w:t>
      </w:r>
      <w:r>
        <w:t xml:space="preserve"> </w:t>
      </w:r>
      <w:r>
        <w:t xml:space="preserve">WG end-to-end with the pluggable transport.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Camp B (asymmetric per-leg, Phase-2 option).</w:t>
      </w:r>
      <w:r>
        <w:t xml:space="preserve"> </w:t>
      </w:r>
      <w:r>
        <w:t xml:space="preserve">Hysteria2/QUIC user↔gateway, plain WG gateway↔connector (11_MST's largest analysis).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Resolved by.</w:t>
      </w:r>
      <w:r>
        <w:t xml:space="preserve"> </w:t>
      </w:r>
      <w:r>
        <w:t xml:space="preserve">doc 01 +</w:t>
      </w:r>
      <w:r>
        <w:t xml:space="preserve"> 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per-leg transport policy (the coordinator already sets per-node transport policy, so per-leg is a Phase-2 config, not a redesign).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A per-leg deployment measurably beats end-to-end WG under real DPI without breaking the single-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reuse guarantee.</w:t>
      </w:r>
    </w:p>
    <w:bookmarkEnd w:id="18"/>
    <w:bookmarkStart w:id="19" w:name="d7--mvp-ambition"/>
    <w:p>
      <w:pPr>
        <w:pStyle w:val="Heading3"/>
      </w:pPr>
      <w:r>
        <w:t xml:space="preserve">D7 — MVP ambition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question.</w:t>
      </w:r>
      <w:r>
        <w:t xml:space="preserve"> </w:t>
      </w:r>
      <w:r>
        <w:t xml:space="preserve">Lean tunnel-first MVP, or full "Connectivity-OS" from v1?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Lean Phase-0 spike → MVP; defer the ecosystem to Phase 2/3 (the roadmap §8 is the resolution).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Operator re-scopes the program (a §11.4.66 scope decision, not an evidence trigger).</w:t>
      </w:r>
    </w:p>
    <w:bookmarkEnd w:id="19"/>
    <w:bookmarkStart w:id="20" w:name="d8--licensing--positioning"/>
    <w:p>
      <w:pPr>
        <w:pStyle w:val="Heading3"/>
      </w:pPr>
      <w:r>
        <w:t xml:space="preserve">D8 — Licensing / positioning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question.</w:t>
      </w:r>
      <w:r>
        <w:t xml:space="preserve"> </w:t>
      </w:r>
      <w:r>
        <w:t xml:space="preserve">Source-available + commercial, or pure OSS?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Decide before public release; the same code serves self-host + managed either way (</w:t>
      </w:r>
      <w:r>
        <w:rPr>
          <w:rStyle w:val="VerbatimChar"/>
        </w:rPr>
        <w:t xml:space="preserve">[04_ARCH §13]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Resolved by.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pre-Phase-3 operator decision</w:t>
      </w:r>
      <w:r>
        <w:t xml:space="preserve"> </w:t>
      </w:r>
      <w:r>
        <w:t xml:space="preserve">— irreversible/high-blast-radius once public, so operator-gated per §11.4.101 (the agent does not pick a license autonomously).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Effectively one-way once the public license ships; hence the pre-release gate.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23536f24ecc7fa559b56e681c81d8b50dda10a"/>
    <w:p>
      <w:pPr>
        <w:pStyle w:val="Heading2"/>
      </w:pPr>
      <w:r>
        <w:t xml:space="preserve">3. Expansion-surfaced decisions (the</w:t>
      </w:r>
      <w:r>
        <w:t xml:space="preserve"> </w:t>
      </w:r>
      <w:r>
        <w:rPr>
          <w:rStyle w:val="VerbatimChar"/>
        </w:rPr>
        <w:t xml:space="preserve">D-…</w:t>
      </w:r>
      <w:r>
        <w:t xml:space="preserve"> </w:t>
      </w:r>
      <w:r>
        <w:t xml:space="preserve">family) — index</w:t>
      </w:r>
    </w:p>
    <w:p>
      <w:pPr>
        <w:pStyle w:val="FirstParagraph"/>
      </w:pPr>
      <w:r>
        <w:t xml:space="preserve">These were raised by the nano-detail volume docs during expansion and are owned by</w:t>
      </w:r>
      <w:r>
        <w:t xml:space="preserve"> </w:t>
      </w:r>
      <w:r>
        <w:t xml:space="preserve">those docs; they are consolidated here (never silently resolved) per §11.4.66/.101.</w:t>
      </w:r>
      <w:r>
        <w:t xml:space="preserve"> </w:t>
      </w:r>
      <w:r>
        <w:t xml:space="preserve">Each composes with — and none overrides — the spine register D1–D8.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Owning doc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D-PKI-CA-TIER</w:t>
            </w:r>
          </w:p>
        </w:tc>
        <w:tc>
          <w:tcPr/>
          <w:p>
            <w:pPr>
              <w:pStyle w:val="Compact"/>
            </w:pPr>
            <w:r>
              <w:t xml:space="preserve">CA topology</w:t>
            </w:r>
          </w:p>
        </w:tc>
        <w:tc>
          <w:tcPr/>
          <w:p>
            <w:pPr>
              <w:pStyle w:val="Compact"/>
            </w:pPr>
            <w:r>
              <w:t xml:space="preserve">single online issuing CA under an offline/KMS root (spine option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v05-security/pki-and-certs.md</w:t>
            </w:r>
            <w:r>
              <w:t xml:space="preserve"> </w:t>
            </w: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recommended (MVP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auth.login</w:t>
            </w:r>
            <w:r>
              <w:t xml:space="preserve">/</w:t>
            </w:r>
            <w:r>
              <w:rPr>
                <w:rStyle w:val="VerbatimChar"/>
              </w:rPr>
              <w:t xml:space="preserve">auth.enroll.denied</w:t>
            </w:r>
            <w:r>
              <w:t xml:space="preserve"> </w:t>
            </w:r>
            <w:r>
              <w:t xml:space="preserve">audit rows</w:t>
            </w:r>
          </w:p>
        </w:tc>
        <w:tc>
          <w:tcPr/>
          <w:p>
            <w:pPr>
              <w:pStyle w:val="Compact"/>
            </w:pPr>
            <w:r>
              <w:t xml:space="preserve">reconcile-before-tag: pick add-to-enum vs defer, align master §7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v05-security/audit-and-compliance.md</w:t>
            </w:r>
            <w:r>
              <w:t xml:space="preserve"> </w:t>
            </w:r>
            <w:r>
              <w:t xml:space="preserve">§13.1</w:t>
            </w:r>
          </w:p>
        </w:tc>
        <w:tc>
          <w:tcPr/>
          <w:p>
            <w:pPr>
              <w:pStyle w:val="Compact"/>
            </w:pPr>
            <w:r>
              <w:t xml:space="preserve">open (reconcile before tag)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D-AC-2</w:t>
            </w:r>
          </w:p>
        </w:tc>
        <w:tc>
          <w:tcPr/>
          <w:p>
            <w:pPr>
              <w:pStyle w:val="Compact"/>
            </w:pPr>
            <w:r>
              <w:t xml:space="preserve">tamper-evident audit hash chain</w:t>
            </w:r>
          </w:p>
        </w:tc>
        <w:tc>
          <w:tcPr/>
          <w:p>
            <w:pPr>
              <w:pStyle w:val="Compact"/>
            </w:pPr>
            <w:r>
              <w:t xml:space="preserve">Phase-2 additive (append-only grant is the MVP floor)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v05-security/audit-and-compliance.md</w:t>
            </w:r>
            <w:r>
              <w:t xml:space="preserve"> </w:t>
            </w:r>
            <w:r>
              <w:t xml:space="preserve">§13.1</w:t>
            </w:r>
          </w:p>
        </w:tc>
        <w:tc>
          <w:tcPr/>
          <w:p>
            <w:pPr>
              <w:pStyle w:val="Compact"/>
            </w:pPr>
            <w:r>
              <w:t xml:space="preserve">recommended (B)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D-AC-3</w:t>
            </w:r>
          </w:p>
        </w:tc>
        <w:tc>
          <w:tcPr/>
          <w:p>
            <w:pPr>
              <w:pStyle w:val="Compact"/>
            </w:pPr>
            <w:r>
              <w:t xml:space="preserve">audit retention default</w:t>
            </w:r>
          </w:p>
        </w:tc>
        <w:tc>
          <w:tcPr/>
          <w:p>
            <w:pPr>
              <w:pStyle w:val="Compact"/>
            </w:pPr>
            <w:r>
              <w:t xml:space="preserve">no auto-prune (operator-driven)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v05-security/audit-and-compliance.md</w:t>
            </w:r>
            <w:r>
              <w:t xml:space="preserve"> </w:t>
            </w:r>
            <w:r>
              <w:t xml:space="preserve">§13.1</w:t>
            </w:r>
          </w:p>
        </w:tc>
        <w:tc>
          <w:tcPr/>
          <w:p>
            <w:pPr>
              <w:pStyle w:val="Compact"/>
            </w:pPr>
            <w:r>
              <w:t xml:space="preserve">recommended (A)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D-AC-4</w:t>
            </w:r>
          </w:p>
        </w:tc>
        <w:tc>
          <w:tcPr/>
          <w:p>
            <w:pPr>
              <w:pStyle w:val="Compact"/>
            </w:pPr>
            <w:r>
              <w:t xml:space="preserve">SIEM connector</w:t>
            </w:r>
          </w:p>
        </w:tc>
        <w:tc>
          <w:tcPr/>
          <w:p>
            <w:pPr>
              <w:pStyle w:val="Compact"/>
            </w:pPr>
            <w:r>
              <w:t xml:space="preserve">generic REST/WS in MVP; named connectors Phase-2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v05-security/audit-and-compliance.md</w:t>
            </w:r>
            <w:r>
              <w:t xml:space="preserve"> </w:t>
            </w:r>
            <w:r>
              <w:t xml:space="preserve">§13.1</w:t>
            </w:r>
          </w:p>
        </w:tc>
        <w:tc>
          <w:tcPr/>
          <w:p>
            <w:pPr>
              <w:pStyle w:val="Compact"/>
            </w:pPr>
            <w:r>
              <w:t xml:space="preserve">recommended (B)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D-KS-1</w:t>
            </w:r>
          </w:p>
        </w:tc>
        <w:tc>
          <w:tcPr/>
          <w:p>
            <w:pPr>
              <w:pStyle w:val="Compact"/>
            </w:pPr>
            <w:r>
              <w:t xml:space="preserve">off-tunnel DoH-on-443 posture</w:t>
            </w:r>
          </w:p>
        </w:tc>
        <w:tc>
          <w:tcPr/>
          <w:p>
            <w:pPr>
              <w:pStyle w:val="Compact"/>
            </w:pPr>
            <w:r>
              <w:t xml:space="preserve">accept default + document the split-tunnel residual; MDM disable for managed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v05-security/kill-switch-and-dns-leak.md</w:t>
            </w:r>
            <w:r>
              <w:t xml:space="preserve"> </w:t>
            </w:r>
            <w:r>
              <w:t xml:space="preserve">§12.1</w:t>
            </w:r>
          </w:p>
        </w:tc>
        <w:tc>
          <w:tcPr/>
          <w:p>
            <w:pPr>
              <w:pStyle w:val="Compact"/>
            </w:pPr>
            <w:r>
              <w:t xml:space="preserve">recommended (A default, B managed)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D-KS-2</w:t>
            </w:r>
          </w:p>
        </w:tc>
        <w:tc>
          <w:tcPr/>
          <w:p>
            <w:pPr>
              <w:pStyle w:val="Compact"/>
            </w:pPr>
            <w:r>
              <w:t xml:space="preserve">Android lockdown enforcement</w:t>
            </w:r>
          </w:p>
        </w:tc>
        <w:tc>
          <w:tcPr/>
          <w:p>
            <w:pPr>
              <w:pStyle w:val="Compact"/>
            </w:pPr>
            <w:r>
              <w:t xml:space="preserve">both layers (core kill-switch always on + surface OS-lockdown prompt)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v05-security/kill-switch-and-dns-leak.md</w:t>
            </w:r>
            <w:r>
              <w:t xml:space="preserve"> </w:t>
            </w:r>
            <w:r>
              <w:t xml:space="preserve">§12.1</w:t>
            </w:r>
          </w:p>
        </w:tc>
        <w:tc>
          <w:tcPr/>
          <w:p>
            <w:pPr>
              <w:pStyle w:val="Compact"/>
            </w:pPr>
            <w:r>
              <w:t xml:space="preserve">recommended (both)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D-KS-3</w:t>
            </w:r>
          </w:p>
        </w:tc>
        <w:tc>
          <w:tcPr/>
          <w:p>
            <w:pPr>
              <w:pStyle w:val="Compact"/>
            </w:pPr>
            <w:r>
              <w:t xml:space="preserve">iOS extension-restart leak guarantee</w:t>
            </w:r>
          </w:p>
        </w:tc>
        <w:tc>
          <w:tcPr/>
          <w:p>
            <w:pPr>
              <w:pStyle w:val="Compact"/>
            </w:pPr>
            <w:r>
              <w:t xml:space="preserve">measure on-device, mark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proven (G3/SC)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v05-security/kill-switch-and-dns-leak.md</w:t>
            </w:r>
            <w:r>
              <w:t xml:space="preserve"> </w:t>
            </w:r>
            <w:r>
              <w:t xml:space="preserve">§12.1</w:t>
            </w:r>
          </w:p>
        </w:tc>
        <w:tc>
          <w:tcPr/>
          <w:p>
            <w:pPr>
              <w:pStyle w:val="Compact"/>
            </w:pPr>
            <w:r>
              <w:t xml:space="preserve">recommended (B)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D-CODEGEN-TRACK</w:t>
            </w:r>
          </w:p>
        </w:tc>
        <w:tc>
          <w:tcPr/>
          <w:p>
            <w:pPr>
              <w:pStyle w:val="Compact"/>
            </w:pPr>
            <w:r>
              <w:t xml:space="preserve">track vs gitignore generated clients</w:t>
            </w:r>
          </w:p>
        </w:tc>
        <w:tc>
          <w:tcPr/>
          <w:p>
            <w:pPr>
              <w:pStyle w:val="Compact"/>
            </w:pPr>
            <w:r>
              <w:t xml:space="preserve">gitignore;</w:t>
            </w:r>
            <w:r>
              <w:t xml:space="preserve"> </w:t>
            </w:r>
            <w:r>
              <w:rPr>
                <w:rStyle w:val="VerbatimChar"/>
              </w:rPr>
              <w:t xml:space="preserve">make gen</w:t>
            </w:r>
            <w:r>
              <w:t xml:space="preserve"> </w:t>
            </w:r>
            <w:r>
              <w:t xml:space="preserve">is the §11.4.77 regeneration mechanism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v06-deploy/codegen-pipeline.md</w:t>
            </w:r>
          </w:p>
        </w:tc>
        <w:tc>
          <w:tcPr/>
          <w:p>
            <w:pPr>
              <w:pStyle w:val="Compact"/>
            </w:pPr>
            <w:r>
              <w:t xml:space="preserve">binding (Volume-6)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D-OPENAPI-AUTHORING</w:t>
            </w:r>
          </w:p>
        </w:tc>
        <w:tc>
          <w:tcPr/>
          <w:p>
            <w:pPr>
              <w:pStyle w:val="Compact"/>
            </w:pPr>
            <w:r>
              <w:t xml:space="preserve">spec-first vs code-first OpenAPI</w:t>
            </w:r>
          </w:p>
        </w:tc>
        <w:tc>
          <w:tcPr/>
          <w:p>
            <w:pPr>
              <w:pStyle w:val="Compact"/>
            </w:pPr>
            <w:r>
              <w:t xml:space="preserve">spec-first (hand-authored contract; handlers validate against 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v06-deploy/codegen-pipeline.md</w:t>
            </w:r>
          </w:p>
        </w:tc>
        <w:tc>
          <w:tcPr/>
          <w:p>
            <w:pPr>
              <w:pStyle w:val="Compact"/>
            </w:pPr>
            <w:r>
              <w:t xml:space="preserve">binding (Volume-6)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D-CODEGEN-NET</w:t>
            </w:r>
          </w:p>
        </w:tc>
        <w:tc>
          <w:tcPr/>
          <w:p>
            <w:pPr>
              <w:pStyle w:val="Compact"/>
            </w:pPr>
            <w:r>
              <w:t xml:space="preserve">codegen offline-from-clean-clone</w:t>
            </w:r>
          </w:p>
        </w:tc>
        <w:tc>
          <w:tcPr/>
          <w:p>
            <w:pPr>
              <w:pStyle w:val="Compact"/>
            </w:pPr>
            <w:r>
              <w:t xml:space="preserve">vendor pinned local</w:t>
            </w:r>
            <w:r>
              <w:t xml:space="preserve"> </w:t>
            </w:r>
            <w:r>
              <w:rPr>
                <w:rStyle w:val="VerbatimChar"/>
              </w:rPr>
              <w:t xml:space="preserve">protoc-gen-*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buf generate</w:t>
            </w:r>
            <w:r>
              <w:t xml:space="preserve"> </w:t>
            </w:r>
            <w:r>
              <w:t xml:space="preserve">offline after</w:t>
            </w:r>
            <w:r>
              <w:t xml:space="preserve"> </w:t>
            </w:r>
            <w:r>
              <w:rPr>
                <w:rStyle w:val="VerbatimChar"/>
              </w:rPr>
              <w:t xml:space="preserve">make gen-tools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v06-deploy/codegen-pipeline.md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D-K8S-EDGE-INGRESS</w:t>
            </w:r>
          </w:p>
        </w:tc>
        <w:tc>
          <w:tcPr/>
          <w:p>
            <w:pPr>
              <w:pStyle w:val="Compact"/>
            </w:pPr>
            <w:r>
              <w:t xml:space="preserve">how UDP/443 reaches the edge on K8s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DaemonSet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hostNetwork:true</w:t>
            </w:r>
            <w:r>
              <w:t xml:space="preserve"> </w:t>
            </w:r>
            <w:r>
              <w:t xml:space="preserve">(node IP = gateway IP), NET_ADMIN-only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v06-deploy/kubernetes.md</w:t>
            </w:r>
            <w:r>
              <w:t xml:space="preserve"> </w:t>
            </w:r>
            <w:r>
              <w:t xml:space="preserve">§;</w:t>
            </w:r>
            <w:r>
              <w:t xml:space="preserve"> </w:t>
            </w:r>
            <w:r>
              <w:rPr>
                <w:rStyle w:val="VerbatimChar"/>
              </w:rPr>
              <w:t xml:space="preserve">[05 §7.3]</w:t>
            </w:r>
          </w:p>
        </w:tc>
        <w:tc>
          <w:tcPr/>
          <w:p>
            <w:pPr>
              <w:pStyle w:val="Compact"/>
            </w:pPr>
            <w:r>
              <w:t xml:space="preserve">recommended (a)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D-K8S-PG-HA</w:t>
            </w:r>
          </w:p>
        </w:tc>
        <w:tc>
          <w:tcPr/>
          <w:p>
            <w:pPr>
              <w:pStyle w:val="Compact"/>
            </w:pPr>
            <w:r>
              <w:t xml:space="preserve">Postgres HA on K8s</w:t>
            </w:r>
          </w:p>
        </w:tc>
        <w:tc>
          <w:tcPr/>
          <w:p>
            <w:pPr>
              <w:pStyle w:val="Compact"/>
            </w:pPr>
            <w:r>
              <w:t xml:space="preserve">Patroni/CloudNativePG (a) for self-managed; managed PG (b) otherwise; single</w:t>
            </w:r>
            <w:r>
              <w:t xml:space="preserve"> </w:t>
            </w:r>
            <w:r>
              <w:rPr>
                <w:rStyle w:val="VerbatimChar"/>
              </w:rPr>
              <w:t xml:space="preserve">StatefulSet</w:t>
            </w:r>
            <w:r>
              <w:t xml:space="preserve"> </w:t>
            </w:r>
            <w:r>
              <w:t xml:space="preserve">(c) = dev-only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v06-deploy/kubernetes.md</w:t>
            </w:r>
            <w:r>
              <w:t xml:space="preserve"> </w:t>
            </w:r>
            <w:r>
              <w:t xml:space="preserve">§;</w:t>
            </w:r>
            <w:r>
              <w:t xml:space="preserve"> </w:t>
            </w:r>
            <w:r>
              <w:rPr>
                <w:rStyle w:val="VerbatimChar"/>
              </w:rPr>
              <w:t xml:space="preserve">ha-and-multiregion.md §3</w:t>
            </w:r>
          </w:p>
        </w:tc>
        <w:tc>
          <w:tcPr/>
          <w:p>
            <w:pPr>
              <w:pStyle w:val="Compact"/>
            </w:pPr>
            <w:r>
              <w:t xml:space="preserve">recommended (a/b)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D-GW-SELECT</w:t>
            </w:r>
          </w:p>
        </w:tc>
        <w:tc>
          <w:tcPr/>
          <w:p>
            <w:pPr>
              <w:pStyle w:val="Compact"/>
            </w:pPr>
            <w:r>
              <w:t xml:space="preserve">multi-region gateway selection</w:t>
            </w:r>
          </w:p>
        </w:tc>
        <w:tc>
          <w:tcPr/>
          <w:p>
            <w:pPr>
              <w:pStyle w:val="Compact"/>
            </w:pPr>
            <w:r>
              <w:t xml:space="preserve">geoDNS (a) for Phase-2 MVP; anycast (b) for latency-critical; client-side from map (c) as complement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v06-deploy/ha-and-multiregion.md</w:t>
            </w:r>
            <w:r>
              <w:t xml:space="preserve"> </w:t>
            </w:r>
            <w:r>
              <w:t xml:space="preserve">§;</w:t>
            </w:r>
            <w:r>
              <w:t xml:space="preserve"> </w:t>
            </w:r>
            <w:r>
              <w:rPr>
                <w:rStyle w:val="VerbatimChar"/>
              </w:rPr>
              <w:t xml:space="preserve">[05]</w:t>
            </w:r>
          </w:p>
        </w:tc>
        <w:tc>
          <w:tcPr/>
          <w:p>
            <w:pPr>
              <w:pStyle w:val="Compact"/>
            </w:pPr>
            <w:r>
              <w:t xml:space="preserve">recommended (a; b/c complements)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D-LLM-POLICY</w:t>
            </w:r>
          </w:p>
        </w:tc>
        <w:tc>
          <w:tcPr/>
          <w:p>
            <w:pPr>
              <w:pStyle w:val="Compact"/>
            </w:pPr>
            <w:r>
              <w:t xml:space="preserve">ship LLM-assisted policy authoring?</w:t>
            </w:r>
          </w:p>
        </w:tc>
        <w:tc>
          <w:tcPr/>
          <w:p>
            <w:pPr>
              <w:pStyle w:val="Compact"/>
            </w:pPr>
            <w:r>
              <w:t xml:space="preserve">defer to Phase 2; default no until product-validated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v06-deploy/repo-layout-and-decoupling.md</w:t>
            </w:r>
            <w:r>
              <w:t xml:space="preserve"> </w:t>
            </w:r>
            <w:r>
              <w:t xml:space="preserve">§;</w:t>
            </w:r>
            <w:r>
              <w:t xml:space="preserve"> </w:t>
            </w:r>
            <w:r>
              <w:rPr>
                <w:rStyle w:val="VerbatimChar"/>
              </w:rPr>
              <w:t xml:space="preserve">helix-ecosystem-integration.md</w:t>
            </w:r>
          </w:p>
        </w:tc>
        <w:tc>
          <w:tcPr/>
          <w:p>
            <w:pPr>
              <w:pStyle w:val="Compact"/>
            </w:pPr>
            <w:r>
              <w:t xml:space="preserve">recommended (defer; default 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D-REPO-CREATE</w:t>
            </w:r>
          </w:p>
        </w:tc>
        <w:tc>
          <w:tcPr/>
          <w:p>
            <w:pPr>
              <w:pStyle w:val="Compact"/>
            </w:pPr>
            <w:r>
              <w:t xml:space="preserve">when to extract reusable</w:t>
            </w:r>
            <w:r>
              <w:t xml:space="preserve"> </w:t>
            </w:r>
            <w:r>
              <w:rPr>
                <w:rStyle w:val="VerbatimChar"/>
              </w:rPr>
              <w:t xml:space="preserve">vasic-digital</w:t>
            </w:r>
            <w:r>
              <w:t xml:space="preserve"> </w:t>
            </w:r>
            <w:r>
              <w:t xml:space="preserve">repos</w:t>
            </w:r>
          </w:p>
        </w:tc>
        <w:tc>
          <w:tcPr/>
          <w:p>
            <w:pPr>
              <w:pStyle w:val="Compact"/>
            </w:pPr>
            <w:r>
              <w:t xml:space="preserve">one batch at Phase-1 exit (shared prefix, stable seams)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v06-deploy/repo-layout-and-decoupling.md</w:t>
            </w:r>
            <w:r>
              <w:t xml:space="preserve"> </w:t>
            </w: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recommended (b); operator-gated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D-DESIGN-EXTRACT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decouples</w:t>
            </w:r>
          </w:p>
        </w:tc>
        <w:tc>
          <w:tcPr/>
          <w:p>
            <w:pPr>
              <w:pStyle w:val="Compact"/>
            </w:pPr>
            <w:r>
              <w:t xml:space="preserve">decoupled day-one (Volume-10 mandate, independent of code churn)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v06-deploy/repo-layout-and-decoupling.md</w:t>
            </w:r>
            <w:r>
              <w:t xml:space="preserve"> </w:t>
            </w: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recommended (b)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D-OD-1</w:t>
            </w:r>
          </w:p>
        </w:tc>
        <w:tc>
          <w:tcPr/>
          <w:p>
            <w:pPr>
              <w:pStyle w:val="Compact"/>
            </w:pPr>
            <w:r>
              <w:t xml:space="preserve">OpenDesign-as-dependency vs authoring layer</w:t>
            </w:r>
          </w:p>
        </w:tc>
        <w:tc>
          <w:tcPr/>
          <w:p>
            <w:pPr>
              <w:pStyle w:val="Compact"/>
            </w:pPr>
            <w:r>
              <w:t xml:space="preserve">OpenDesign = mandatory design</w:t>
            </w:r>
            <w:r>
              <w:t xml:space="preserve"> </w:t>
            </w:r>
            <w:r>
              <w:rPr>
                <w:i/>
                <w:iCs/>
              </w:rPr>
              <w:t xml:space="preserve">authoring/refinement</w:t>
            </w:r>
            <w:r>
              <w:t xml:space="preserve"> </w:t>
            </w:r>
            <w:r>
              <w:t xml:space="preserve">layer;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owns the canonical tiered JSON tokens + polyglot exporters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v10-design/opendesign-foundation.md</w:t>
            </w:r>
            <w:r>
              <w:t xml:space="preserve">; REFINEMENT_NOTES</w:t>
            </w:r>
          </w:p>
        </w:tc>
        <w:tc>
          <w:tcPr/>
          <w:p>
            <w:pPr>
              <w:pStyle w:val="Compact"/>
            </w:pPr>
            <w:r>
              <w:t xml:space="preserve">safe default (reversible); operator-confirmation 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D-CORE-</w:t>
            </w:r>
            <w:r>
              <w:rPr>
                <w:b/>
                <w:bCs/>
                <w:i/>
                <w:iCs/>
              </w:rPr>
              <w:t xml:space="preserve">, D-FFI-</w:t>
            </w:r>
            <w:r>
              <w:rPr>
                <w:b/>
                <w:bCs/>
              </w:rPr>
              <w:t xml:space="preserve">, D-CLIENT-</w:t>
            </w:r>
            <w:r>
              <w:rPr>
                <w:b/>
                <w:bCs/>
                <w:i/>
                <w:iCs/>
              </w:rPr>
              <w:t xml:space="preserve">, D-UI-</w:t>
            </w:r>
          </w:p>
        </w:tc>
        <w:tc>
          <w:tcPr/>
          <w:p>
            <w:pPr>
              <w:pStyle w:val="Compact"/>
            </w:pPr>
            <w:r>
              <w:t xml:space="preserve">Rust-core / FFI / client / UI sub-choices</w:t>
            </w:r>
          </w:p>
        </w:tc>
        <w:tc>
          <w:tcPr/>
          <w:p>
            <w:pPr>
              <w:pStyle w:val="Compact"/>
            </w:pPr>
            <w:r>
              <w:t xml:space="preserve">per-doc (Volume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v04-client/helix-core-rust.md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ffi-surface.md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helix-ui-flutter.md</w:t>
            </w:r>
          </w:p>
        </w:tc>
        <w:tc>
          <w:tcPr/>
          <w:p>
            <w:pPr>
              <w:pStyle w:val="Compact"/>
            </w:pPr>
            <w:r>
              <w:t xml:space="preserve">recommended (per 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D-APPLE/ANDROID/WIN/LXN/OHOS/AUR-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per-platform shim choices</w:t>
            </w:r>
          </w:p>
        </w:tc>
        <w:tc>
          <w:tcPr/>
          <w:p>
            <w:pPr>
              <w:pStyle w:val="Compact"/>
            </w:pPr>
            <w:r>
              <w:t xml:space="preserve">per-doc (Volume 4 shims)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v04-client/shim-*.md</w:t>
            </w:r>
          </w:p>
        </w:tc>
        <w:tc>
          <w:tcPr/>
          <w:p>
            <w:pPr>
              <w:pStyle w:val="Compact"/>
            </w:pPr>
            <w:r>
              <w:t xml:space="preserve">recommended (per 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D-DAITA-A</w:t>
            </w:r>
          </w:p>
        </w:tc>
        <w:tc>
          <w:tcPr/>
          <w:p>
            <w:pPr>
              <w:pStyle w:val="Compact"/>
            </w:pPr>
            <w:r>
              <w:t xml:space="preserve">DAITA via maybenot</w:t>
            </w:r>
          </w:p>
        </w:tc>
        <w:tc>
          <w:tcPr/>
          <w:p>
            <w:pPr>
              <w:pStyle w:val="Compact"/>
            </w:pPr>
            <w:r>
              <w:t xml:space="preserve">adopt maybenot state machine above WG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v02-data-plane/daita.md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D-WG-PATH / D-SUBSTRATE-DEFAULT</w:t>
            </w:r>
          </w:p>
        </w:tc>
        <w:tc>
          <w:tcPr/>
          <w:p>
            <w:pPr>
              <w:pStyle w:val="Compact"/>
            </w:pPr>
            <w:r>
              <w:t xml:space="preserve">kernel vs userspace WG per platform; substrate default</w:t>
            </w:r>
          </w:p>
        </w:tc>
        <w:tc>
          <w:tcPr/>
          <w:p>
            <w:pPr>
              <w:pStyle w:val="Compact"/>
            </w:pPr>
            <w:r>
              <w:t xml:space="preserve">per-platform (kernel where available, boringtun 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v02-data-plane/wireguard-core.md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architecture-and-wiring.md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scope note (§11.4.6).</w:t>
      </w:r>
      <w:r>
        <w:t xml:space="preserve"> </w:t>
      </w:r>
      <w:r>
        <w:t xml:space="preserve">The grep across the volumes surfaces additional</w:t>
      </w:r>
      <w:r>
        <w:t xml:space="preserve"> </w:t>
      </w:r>
      <w:r>
        <w:t xml:space="preserve">doc-local</w:t>
      </w:r>
      <w:r>
        <w:t xml:space="preserve"> </w:t>
      </w:r>
      <w:r>
        <w:rPr>
          <w:rStyle w:val="VerbatimChar"/>
        </w:rPr>
        <w:t xml:space="preserve">D-…</w:t>
      </w:r>
      <w:r>
        <w:t xml:space="preserve"> </w:t>
      </w:r>
      <w:r>
        <w:t xml:space="preserve">tags (e.g.</w:t>
      </w:r>
      <w:r>
        <w:t xml:space="preserve"> </w:t>
      </w:r>
      <w:r>
        <w:rPr>
          <w:rStyle w:val="VerbatimChar"/>
        </w:rPr>
        <w:t xml:space="preserve">D-WEB-*</w:t>
      </w:r>
      <w:r>
        <w:t xml:space="preserve">,</w:t>
      </w:r>
      <w:r>
        <w:t xml:space="preserve"> </w:t>
      </w:r>
      <w:r>
        <w:rPr>
          <w:rStyle w:val="VerbatimChar"/>
        </w:rPr>
        <w:t xml:space="preserve">D-ID*</w:t>
      </w:r>
      <w:r>
        <w:t xml:space="preserve">,</w:t>
      </w:r>
      <w:r>
        <w:t xml:space="preserve"> </w:t>
      </w:r>
      <w:r>
        <w:rPr>
          <w:rStyle w:val="VerbatimChar"/>
        </w:rPr>
        <w:t xml:space="preserve">D-S-1</w:t>
      </w:r>
      <w:r>
        <w:t xml:space="preserve">,</w:t>
      </w:r>
      <w:r>
        <w:t xml:space="preserve"> </w:t>
      </w:r>
      <w:r>
        <w:rPr>
          <w:rStyle w:val="VerbatimChar"/>
        </w:rPr>
        <w:t xml:space="preserve">D-T-1</w:t>
      </w:r>
      <w:r>
        <w:t xml:space="preserve">) that are</w:t>
      </w:r>
      <w:r>
        <w:t xml:space="preserve"> </w:t>
      </w:r>
      <w:r>
        <w:rPr>
          <w:i/>
          <w:iCs/>
        </w:rPr>
        <w:t xml:space="preserve">intra-doc</w:t>
      </w:r>
      <w:r>
        <w:t xml:space="preserve"> </w:t>
      </w:r>
      <w:r>
        <w:t xml:space="preserve">design callouts rather than program-level decisions; they remain owned by their</w:t>
      </w:r>
      <w:r>
        <w:t xml:space="preserve"> </w:t>
      </w:r>
      <w:r>
        <w:t xml:space="preserve">docs and are not promoted here unless they cross a doc boundary or gate a phase. The</w:t>
      </w:r>
      <w:r>
        <w:t xml:space="preserve"> </w:t>
      </w:r>
      <w:r>
        <w:t xml:space="preserve">table above is the consolidated cross-cutting set; the per-doc callouts stay</w:t>
      </w:r>
      <w:r>
        <w:t xml:space="preserve"> </w:t>
      </w:r>
      <w:r>
        <w:t xml:space="preserve">authoritative in their owning doc (§11.4.35).</w:t>
      </w:r>
    </w:p>
    <w:p>
      <w:r>
        <w:pict>
          <v:rect style="width:0;height:1.5pt" o:hralign="center" o:hrstd="t" o:hr="t"/>
        </w:pict>
      </w:r>
    </w:p>
    <w:bookmarkEnd w:id="22"/>
    <w:bookmarkStart w:id="32" w:name="X0b295661bf60efe1a0986be030d668aaa5713de"/>
    <w:p>
      <w:pPr>
        <w:pStyle w:val="Heading2"/>
      </w:pPr>
      <w:r>
        <w:t xml:space="preserve">4. Expansion-surfaced decisions — per-decision detail</w:t>
      </w:r>
    </w:p>
    <w:bookmarkStart w:id="23" w:name="X8b35c50c88b88bd9b7afd5e3952930f6e966040"/>
    <w:p>
      <w:pPr>
        <w:pStyle w:val="Heading3"/>
      </w:pPr>
      <w:r>
        <w:t xml:space="preserve">D-PKI-CA-TIER — CA topology (two-tier issuing CA)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Question.</w:t>
      </w:r>
      <w:r>
        <w:t xml:space="preserve"> </w:t>
      </w:r>
      <w:r>
        <w:t xml:space="preserve">Flat single-CA, or a two-tier (offline/KMS root → online issuing intermediate)?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 (MVP default).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single online issuing CA under an offline/KMS root</w:t>
      </w:r>
      <w:r>
        <w:t xml:space="preserve"> </w:t>
      </w:r>
      <w:r>
        <w:t xml:space="preserve">— i.e. spine option B (two-tier, root offline, short-lived online intermediate). The</w:t>
      </w:r>
      <w:r>
        <w:t xml:space="preserve"> </w:t>
      </w:r>
      <w:r>
        <w:rPr>
          <w:rStyle w:val="VerbatimChar"/>
        </w:rPr>
        <w:t xml:space="preserve">ca_chain</w:t>
      </w:r>
      <w:r>
        <w:t xml:space="preserve"> </w:t>
      </w:r>
      <w:r>
        <w:t xml:space="preserve">delivered at enroll has length ≥ 1 so clients pin a chain from day one; promoting topology (adding a second regional intermediate) is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— the chain grows, never reshapes (§11.4.6). (</w:t>
      </w:r>
      <w:r>
        <w:rPr>
          <w:rStyle w:val="VerbatimChar"/>
        </w:rPr>
        <w:t xml:space="preserve">v05-security/pki-and-certs.md</w:t>
      </w:r>
      <w:r>
        <w:t xml:space="preserve"> </w:t>
      </w:r>
      <w:r>
        <w:t xml:space="preserve">§2.1; carried from</w:t>
      </w:r>
      <w:r>
        <w:t xml:space="preserve"> 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§4.2)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OPERATOR CONFIRMED (2026-06-26).</w:t>
      </w:r>
      <w:r>
        <w:t xml:space="preserve"> </w:t>
      </w:r>
      <w:r>
        <w:t xml:space="preserve">Two-tier issuing CA accepted as the MVP default. Proceed with the recommendation.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Resolved by.</w:t>
      </w:r>
      <w:r>
        <w:t xml:space="preserve"> </w:t>
      </w:r>
      <w:r>
        <w:rPr>
          <w:rStyle w:val="VerbatimChar"/>
        </w:rPr>
        <w:t xml:space="preserve">v05-security/pki-and-certs.md</w:t>
      </w:r>
      <w:r>
        <w:t xml:space="preserve"> </w:t>
      </w:r>
      <w:r>
        <w:t xml:space="preserve">is binding; an integration test proves cross-tenant cert validation fails (FR-108) and chain pinning holds.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Operational evidence the single online issuing CA is a throughput/availability bottleneck → add a second intermediate (additive, no client break).</w:t>
      </w:r>
    </w:p>
    <w:bookmarkEnd w:id="23"/>
    <w:bookmarkStart w:id="24" w:name="d-ac-14--audit-enum--audit-surface"/>
    <w:p>
      <w:pPr>
        <w:pStyle w:val="Heading3"/>
      </w:pPr>
      <w:r>
        <w:t xml:space="preserve">D-AC-1..4 — audit enum &amp; audit surface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D-AC-1 (open, reconcile-before-tag).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auth.login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auth.enroll.denied</w:t>
      </w:r>
      <w:r>
        <w:t xml:space="preserve"> </w:t>
      </w:r>
      <w:r>
        <w:t xml:space="preserve">are rows in the</w:t>
      </w:r>
      <w:r>
        <w:t xml:space="preserve"> </w:t>
      </w:r>
      <w:r>
        <w:rPr>
          <w:i/>
          <w:iCs/>
        </w:rPr>
        <w:t xml:space="preserve">closed</w:t>
      </w:r>
      <w:r>
        <w:t xml:space="preserve"> </w:t>
      </w:r>
      <w:r>
        <w:t xml:space="preserve">audit-action enum (MVP) or deferred to Phase 2. The closed enum (</w:t>
      </w:r>
      <w:r>
        <w:rPr>
          <w:rStyle w:val="VerbatimChar"/>
        </w:rPr>
        <w:t xml:space="preserve">svc-telemetry §4.2</w:t>
      </w:r>
      <w:r>
        <w:t xml:space="preserve">) is the mechanical truth; one option must be picked and master §7 aligned to it</w:t>
      </w:r>
      <w:r>
        <w:t xml:space="preserve"> </w:t>
      </w:r>
      <w:r>
        <w:rPr>
          <w:b/>
          <w:bCs/>
        </w:rPr>
        <w:t xml:space="preserve">before the release tag</w:t>
      </w:r>
      <w:r>
        <w:t xml:space="preserve"> </w:t>
      </w:r>
      <w:r>
        <w:t xml:space="preserve">(a §11.4.120 fix-breaks-its-own-gate-class reconciliation). Owning doc:</w:t>
      </w:r>
      <w:r>
        <w:t xml:space="preserve"> </w:t>
      </w:r>
      <w:r>
        <w:rPr>
          <w:rStyle w:val="VerbatimChar"/>
        </w:rPr>
        <w:t xml:space="preserve">v05-security/audit-and-compliance.md</w:t>
      </w:r>
      <w:r>
        <w:t xml:space="preserve"> </w:t>
      </w:r>
      <w:r>
        <w:t xml:space="preserve">§13.1.</w:t>
      </w:r>
      <w:r>
        <w:t xml:space="preserve"> </w:t>
      </w:r>
      <w:r>
        <w:rPr>
          <w:b/>
          <w:bCs/>
        </w:rPr>
        <w:t xml:space="preserve">Reversal:</w:t>
      </w:r>
      <w:r>
        <w:t xml:space="preserve"> </w:t>
      </w:r>
      <w:r>
        <w:t xml:space="preserve">n/a — a reconcile-before-tag process choice; once the enum↔master-§7 alignment is picked and tagged, re-opening requires a new audit-action requirement (a §11.4.66 decision).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D-AC-2 (recommended: Phase-2).</w:t>
      </w:r>
      <w:r>
        <w:t xml:space="preserve"> </w:t>
      </w:r>
      <w:r>
        <w:t xml:space="preserve">Tamper-evident audit</w:t>
      </w:r>
      <w:r>
        <w:t xml:space="preserve"> </w:t>
      </w:r>
      <w:r>
        <w:rPr>
          <w:b/>
          <w:bCs/>
        </w:rPr>
        <w:t xml:space="preserve">hash chain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meta.prev_hash</w:t>
      </w:r>
      <w:r>
        <w:t xml:space="preserve"> </w:t>
      </w:r>
      <w:r>
        <w:t xml:space="preserve">seam is reserved in MVP but the capability is</w:t>
      </w:r>
      <w:r>
        <w:t xml:space="preserve"> </w:t>
      </w:r>
      <w:r>
        <w:rPr>
          <w:i/>
          <w:iCs/>
        </w:rPr>
        <w:t xml:space="preserve">not claimed</w:t>
      </w:r>
      <w:r>
        <w:t xml:space="preserve"> </w:t>
      </w:r>
      <w:r>
        <w:t xml:space="preserve">for MVP (append-only</w:t>
      </w:r>
      <w:r>
        <w:t xml:space="preserve"> </w:t>
      </w:r>
      <w:r>
        <w:rPr>
          <w:rStyle w:val="VerbatimChar"/>
        </w:rPr>
        <w:t xml:space="preserve">REVOKE UPDATE,DELETE</w:t>
      </w:r>
      <w:r>
        <w:t xml:space="preserve"> </w:t>
      </w:r>
      <w:r>
        <w:t xml:space="preserve">is the MVP floor). Reversal: a compliance requirement pulls it into MVP.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D-AC-3 (recommended: A).</w:t>
      </w:r>
      <w:r>
        <w:t xml:space="preserve"> </w:t>
      </w:r>
      <w:r>
        <w:t xml:space="preserve">Audit</w:t>
      </w:r>
      <w:r>
        <w:t xml:space="preserve"> </w:t>
      </w:r>
      <w:r>
        <w:rPr>
          <w:b/>
          <w:bCs/>
        </w:rPr>
        <w:t xml:space="preserve">retention</w:t>
      </w:r>
      <w:r>
        <w:t xml:space="preserve"> </w:t>
      </w:r>
      <w:r>
        <w:t xml:space="preserve">default = no auto-prune (operator-driven); control-action audit is low-volume + accountability-valuable, so the operator chooses a period per their regime. Reversal: storage pressure or a regime mandating a default TTL.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D-AC-4 (recommended: B).</w:t>
      </w:r>
      <w:r>
        <w:t xml:space="preserve"> </w:t>
      </w:r>
      <w:r>
        <w:rPr>
          <w:b/>
          <w:bCs/>
        </w:rPr>
        <w:t xml:space="preserve">SIEM</w:t>
      </w:r>
      <w:r>
        <w:t xml:space="preserve"> </w:t>
      </w:r>
      <w:r>
        <w:t xml:space="preserve">connector — MVP exposes generic REST/WS surfaces; a named connector is Phase-2 additive. Reversal: an operator standardising on a specific SIEM pre-Phase-2.</w:t>
      </w:r>
    </w:p>
    <w:bookmarkEnd w:id="24"/>
    <w:bookmarkStart w:id="25" w:name="d-ks-13--kill-switch--dns-leak-posture"/>
    <w:p>
      <w:pPr>
        <w:pStyle w:val="Heading3"/>
      </w:pPr>
      <w:r>
        <w:t xml:space="preserve">D-KS-1..3 — kill-switch / DNS-leak posture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D-KS-1 (recommended: A default, B managed).</w:t>
      </w:r>
      <w:r>
        <w:t xml:space="preserve"> </w:t>
      </w:r>
      <w:r>
        <w:t xml:space="preserve">Off-tunnel</w:t>
      </w:r>
      <w:r>
        <w:t xml:space="preserve"> </w:t>
      </w:r>
      <w:r>
        <w:rPr>
          <w:b/>
          <w:bCs/>
        </w:rPr>
        <w:t xml:space="preserve">DoH-on-443</w:t>
      </w:r>
      <w:r>
        <w:t xml:space="preserve">: accept it inside a full tunnel (not an underlay leak) and</w:t>
      </w:r>
      <w:r>
        <w:t xml:space="preserve"> </w:t>
      </w:r>
      <w:r>
        <w:rPr>
          <w:i/>
          <w:iCs/>
        </w:rPr>
        <w:t xml:space="preserve">document the split-tunnel residual</w:t>
      </w:r>
      <w:r>
        <w:t xml:space="preserve"> </w:t>
      </w:r>
      <w:r>
        <w:t xml:space="preserve">by default; offer an enterprise DoH-disable control on MDM platforms. The residual is documented, never claimed closed (§6.4 / §11.4.6).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D-KS-2 (recommended: both layers).</w:t>
      </w:r>
      <w:r>
        <w:t xml:space="preserve"> </w:t>
      </w:r>
      <w:r>
        <w:t xml:space="preserve">Android</w:t>
      </w:r>
      <w:r>
        <w:t xml:space="preserve"> </w:t>
      </w:r>
      <w:r>
        <w:rPr>
          <w:b/>
          <w:bCs/>
        </w:rPr>
        <w:t xml:space="preserve">lockdown</w:t>
      </w:r>
      <w:r>
        <w:t xml:space="preserve">: core kill-switch always on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surfacing the OS Always-on-VPN/lockdown prompt; never silently assume the OS backstop is present.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D-KS-3 (recommended: B).</w:t>
      </w:r>
      <w:r>
        <w:t xml:space="preserve"> </w:t>
      </w:r>
      <w:r>
        <w:t xml:space="preserve">iOS</w:t>
      </w:r>
      <w:r>
        <w:t xml:space="preserve"> </w:t>
      </w:r>
      <w:r>
        <w:rPr>
          <w:b/>
          <w:bCs/>
        </w:rPr>
        <w:t xml:space="preserve">extension-restart leak window</w:t>
      </w:r>
      <w:r>
        <w:t xml:space="preserve">: do not claim leak-proof; measure on-device (gate G3/SC) and mark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the pcap exists. Owning doc:</w:t>
      </w:r>
      <w:r>
        <w:t xml:space="preserve"> </w:t>
      </w:r>
      <w:r>
        <w:rPr>
          <w:rStyle w:val="VerbatimChar"/>
        </w:rPr>
        <w:t xml:space="preserve">v05-security/kill-switch-and-dns-leak.md</w:t>
      </w:r>
      <w:r>
        <w:t xml:space="preserve"> </w:t>
      </w:r>
      <w:r>
        <w:t xml:space="preserve">§12.1.</w:t>
      </w:r>
    </w:p>
    <w:bookmarkEnd w:id="25"/>
    <w:bookmarkStart w:id="26" w:name="Xa18e5a055dd7ea67b4078346b752a2be9a7b78d"/>
    <w:p>
      <w:pPr>
        <w:pStyle w:val="Heading3"/>
      </w:pPr>
      <w:r>
        <w:t xml:space="preserve">D-CODEGEN-TRACK / D-OPENAPI-AUTHORING / D-CODEGEN-NET — codegen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D-OPENAPI-AUTHORING (binding).</w:t>
      </w:r>
      <w:r>
        <w:t xml:space="preserve"> </w:t>
      </w:r>
      <w:r>
        <w:t xml:space="preserve">OpenAPI is</w:t>
      </w:r>
      <w:r>
        <w:t xml:space="preserve"> </w:t>
      </w:r>
      <w:r>
        <w:rPr>
          <w:b/>
          <w:bCs/>
        </w:rPr>
        <w:t xml:space="preserve">spec-first</w:t>
      </w:r>
      <w:r>
        <w:t xml:space="preserve"> </w:t>
      </w:r>
      <w:r>
        <w:t xml:space="preserve">(hand-authored contract; handlers validated against it), not code-first from handler annotations — so the TS/Dart app clients generate from a stable surface. (</w:t>
      </w:r>
      <w:r>
        <w:rPr>
          <w:rStyle w:val="VerbatimChar"/>
        </w:rPr>
        <w:t xml:space="preserve">v06-deploy/codegen-pipeline.md</w:t>
      </w:r>
      <w:r>
        <w:t xml:space="preserve">)</w:t>
      </w:r>
      <w:r>
        <w:t xml:space="preserve"> </w:t>
      </w:r>
      <w:r>
        <w:rPr>
          <w:b/>
          <w:bCs/>
        </w:rPr>
        <w:t xml:space="preserve">Reversal:</w:t>
      </w:r>
      <w:r>
        <w:t xml:space="preserve"> </w:t>
      </w:r>
      <w:r>
        <w:t xml:space="preserve">n/a — an authoring-workflow process choice; re-opens only if spec-first authoring captures sustained friction on a surface, reverting that surface to code-first.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D-CODEGEN-TRACK (binding).</w:t>
      </w:r>
      <w:r>
        <w:t xml:space="preserve"> </w:t>
      </w:r>
      <w:r>
        <w:t xml:space="preserve">Generated clients are</w:t>
      </w:r>
      <w:r>
        <w:t xml:space="preserve"> </w:t>
      </w:r>
      <w:r>
        <w:rPr>
          <w:b/>
          <w:bCs/>
        </w:rPr>
        <w:t xml:space="preserve">gitignored</w:t>
      </w:r>
      <w:r>
        <w:t xml:space="preserve">;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from a clean clone reproduces them deterministically (the schema is the single source of truth; a committed generated tree is a second copy that rots). A</w:t>
      </w:r>
      <w:r>
        <w:t xml:space="preserve"> </w:t>
      </w:r>
      <w:r>
        <w:rPr>
          <w:rStyle w:val="VerbatimChar"/>
        </w:rPr>
        <w:t xml:space="preserve">.gitignore-meta/&lt;slug&gt;.yaml</w:t>
      </w:r>
      <w:r>
        <w:t xml:space="preserve"> </w:t>
      </w:r>
      <w:r>
        <w:t xml:space="preserve">declares the §11.4.77 regeneration mechanism. This is a</w:t>
      </w:r>
      <w:r>
        <w:t xml:space="preserve"> </w:t>
      </w:r>
      <w:r>
        <w:rPr>
          <w:i/>
          <w:iCs/>
        </w:rPr>
        <w:t xml:space="preserve">visible reconciliation</w:t>
      </w:r>
      <w:r>
        <w:t xml:space="preserve"> </w:t>
      </w:r>
      <w:r>
        <w:t xml:space="preserve">(§11.4.35) of the overview's "generated code gitignored" intent into the binding Volume-6 decision.</w:t>
      </w:r>
      <w:r>
        <w:t xml:space="preserve"> </w:t>
      </w:r>
      <w:r>
        <w:rPr>
          <w:b/>
          <w:bCs/>
        </w:rPr>
        <w:t xml:space="preserve">Reversal:</w:t>
      </w:r>
      <w:r>
        <w:t xml:space="preserve"> </w:t>
      </w:r>
      <w:r>
        <w:t xml:space="preserve">n/a — a process choice; schema-as-SSoT + the §11.4.77 regen make tracking generated trees strictly worse, so no evidence re-opens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D-CODEGEN-NET (recommended).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remote plugins need network; per §11.4.77 the regen must work from a clean clone, so vendor pinned local</w:t>
      </w:r>
      <w:r>
        <w:t xml:space="preserve"> </w:t>
      </w:r>
      <w:r>
        <w:rPr>
          <w:rStyle w:val="VerbatimChar"/>
        </w:rPr>
        <w:t xml:space="preserve">protoc-gen-*</w:t>
      </w:r>
      <w:r>
        <w:t xml:space="preserve"> </w:t>
      </w:r>
      <w:r>
        <w:t xml:space="preserve">plugins under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runs offline after a one-time</w:t>
      </w:r>
      <w:r>
        <w:t xml:space="preserve"> </w:t>
      </w:r>
      <w:r>
        <w:rPr>
          <w:rStyle w:val="VerbatimChar"/>
        </w:rPr>
        <w:t xml:space="preserve">make gen-tools</w:t>
      </w:r>
      <w:r>
        <w:t xml:space="preserve">). Reversal: none expected; it strengthens the §11.4.77 guarantee.</w:t>
      </w:r>
    </w:p>
    <w:bookmarkEnd w:id="26"/>
    <w:bookmarkStart w:id="27" w:name="Xca52b0c8e1d6c922ff11303dcd904f2d22cb263"/>
    <w:p>
      <w:pPr>
        <w:pStyle w:val="Heading3"/>
      </w:pPr>
      <w:r>
        <w:t xml:space="preserve">D-K8S-EDGE-INGRESS / D-K8S-PG-HA — Kubernetes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D-K8S-EDGE-INGRESS (recommended: a).</w:t>
      </w:r>
      <w:r>
        <w:t xml:space="preserve"> </w:t>
      </w:r>
      <w:r>
        <w:t xml:space="preserve">A normal pod behind ClusterIP/L7 ingress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carry UDP/443 (most cloud L7 ingress can't forward UDP; an extra NAT hop breaks the WG endpoint model). The edge therefore runs as a</w:t>
      </w:r>
      <w:r>
        <w:t xml:space="preserve"> </w:t>
      </w:r>
      <w:r>
        <w:rPr>
          <w:rStyle w:val="VerbatimChar"/>
          <w:b/>
          <w:bCs/>
        </w:rPr>
        <w:t xml:space="preserve">DaemonSet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hostNetwork:true</w:t>
      </w:r>
      <w:r>
        <w:t xml:space="preserve"> </w:t>
      </w:r>
      <w:r>
        <w:t xml:space="preserve">so UDP/443 lands directly on the node IP (node IP = gateway IP),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-only, everything else dropped — parity with the quadlet model. Alternatives (record, not silently dropped):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/</w:t>
      </w:r>
      <w:r>
        <w:rPr>
          <w:rStyle w:val="VerbatimChar"/>
        </w:rPr>
        <w:t xml:space="preserve">LoadBalancer</w:t>
      </w:r>
      <w:r>
        <w:t xml:space="preserve">-UDP/Gateway-API-UDP. (</w:t>
      </w:r>
      <w:r>
        <w:rPr>
          <w:rStyle w:val="VerbatimChar"/>
        </w:rPr>
        <w:t xml:space="preserve">v06-deploy/kubernetes.md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[05 §7.3]</w:t>
      </w:r>
      <w:r>
        <w:t xml:space="preserve">)</w:t>
      </w:r>
      <w:r>
        <w:t xml:space="preserve"> </w:t>
      </w:r>
      <w:r>
        <w:rPr>
          <w:b/>
          <w:bCs/>
        </w:rPr>
        <w:t xml:space="preserve">Reversal:</w:t>
      </w:r>
      <w:r>
        <w:t xml:space="preserve"> </w:t>
      </w:r>
      <w:r>
        <w:t xml:space="preserve">a target K8s platform forbids</w:t>
      </w:r>
      <w:r>
        <w:t xml:space="preserve"> </w:t>
      </w:r>
      <w:r>
        <w:rPr>
          <w:rStyle w:val="VerbatimChar"/>
        </w:rPr>
        <w:t xml:space="preserve">hostNetwork</w:t>
      </w:r>
      <w:r>
        <w:t xml:space="preserve">/</w:t>
      </w:r>
      <w:r>
        <w:rPr>
          <w:rStyle w:val="VerbatimChar"/>
        </w:rPr>
        <w:t xml:space="preserve">NET_ADMIN</w:t>
      </w:r>
      <w:r>
        <w:t xml:space="preserve"> </w:t>
      </w:r>
      <w:r>
        <w:t xml:space="preserve">pods (captured platform constraint) → fall back to the recorded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/</w:t>
      </w:r>
      <w:r>
        <w:rPr>
          <w:rStyle w:val="VerbatimChar"/>
        </w:rPr>
        <w:t xml:space="preserve">LoadBalancer</w:t>
      </w:r>
      <w:r>
        <w:t xml:space="preserve">-UDP / Gateway-API-UDP ingress path.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D-K8S-PG-HA (recommended: a/b).</w:t>
      </w:r>
      <w:r>
        <w:t xml:space="preserve"> </w:t>
      </w:r>
      <w:r>
        <w:t xml:space="preserve">(a) Patroni operator / CloudNativePG (primary + ≥2 replicas, auto-failover) for self-managed fleets — keeps failover in-cluster; (b) external managed Postgres referenced by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; (c) single-replica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 </w:t>
      </w:r>
      <w:r>
        <w:t xml:space="preserve">is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production-grade (the single-node parity build only). (</w:t>
      </w:r>
      <w:r>
        <w:rPr>
          <w:rStyle w:val="VerbatimChar"/>
        </w:rPr>
        <w:t xml:space="preserve">v06-deploy/kubernetes.md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ha-and-multiregion.md §3</w:t>
      </w:r>
      <w:r>
        <w:t xml:space="preserve">)</w:t>
      </w:r>
      <w:r>
        <w:t xml:space="preserve"> </w:t>
      </w:r>
      <w:r>
        <w:rPr>
          <w:b/>
          <w:bCs/>
        </w:rPr>
        <w:t xml:space="preserve">Reversal:</w:t>
      </w:r>
      <w:r>
        <w:t xml:space="preserve"> </w:t>
      </w:r>
      <w:r>
        <w:t xml:space="preserve">an operator standardises on managed Postgres (b), or a Patroni/CNPG drill captures inadequate in-cluster failover → switch tiers (the (a)/(b)/(c) set is the menu; the pick is operator/evidence-driven, §11.4.66).</w:t>
      </w:r>
    </w:p>
    <w:bookmarkEnd w:id="27"/>
    <w:bookmarkStart w:id="28" w:name="X60feff03cccfe89ca5d8fb2bcc217d5de756665"/>
    <w:p>
      <w:pPr>
        <w:pStyle w:val="Heading3"/>
      </w:pPr>
      <w:r>
        <w:t xml:space="preserve">D-GW-SELECT — multi-region gateway selection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Options.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geoDNS</w:t>
      </w:r>
      <w:r>
        <w:t xml:space="preserve"> </w:t>
      </w:r>
      <w:r>
        <w:t xml:space="preserve">— name resolves to nearest region's edge IP by client geo; health-checked DNS removes a dead region; simplest, DNS-TTL-bound failover. (b)</w:t>
      </w:r>
      <w:r>
        <w:t xml:space="preserve"> </w:t>
      </w:r>
      <w:r>
        <w:rPr>
          <w:b/>
          <w:bCs/>
        </w:rPr>
        <w:t xml:space="preserve">Anycast</w:t>
      </w:r>
      <w:r>
        <w:t xml:space="preserve"> </w:t>
      </w:r>
      <w:r>
        <w:t xml:space="preserve">— one advertised IP announced (BGP) from every region; fastest failover, needs BGP/anycast capability. (c)</w:t>
      </w:r>
      <w:r>
        <w:t xml:space="preserve"> </w:t>
      </w:r>
      <w:r>
        <w:rPr>
          <w:b/>
          <w:bCs/>
        </w:rPr>
        <w:t xml:space="preserve">Client-side from the network map</w:t>
      </w:r>
      <w:r>
        <w:t xml:space="preserve"> </w:t>
      </w:r>
      <w:r>
        <w:t xml:space="preserve">— coordinator hands each node a region-specific</w:t>
      </w:r>
      <w:r>
        <w:t xml:space="preserve"> </w:t>
      </w:r>
      <w:r>
        <w:rPr>
          <w:rStyle w:val="VerbatimChar"/>
        </w:rPr>
        <w:t xml:space="preserve">GatewayInfo.endpoint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(a) geoDNS for the Phase-2 MVP (no BGP dependency); (b) anycast for latency-critical fleets with the capability; (c) as a complement — the coordinator already knows each node's region, so it can bias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 </w:t>
      </w:r>
      <w:r>
        <w:t xml:space="preserve">regardless. On a regional failover the coordinator emits</w:t>
      </w:r>
      <w:r>
        <w:t xml:space="preserve"> </w:t>
      </w:r>
      <w:r>
        <w:rPr>
          <w:rStyle w:val="VerbatimChar"/>
        </w:rPr>
        <w:t xml:space="preserve">gateway.failover {from,to}</w:t>
      </w:r>
      <w:r>
        <w:t xml:space="preserve"> </w:t>
      </w:r>
      <w:r>
        <w:t xml:space="preserve">and pushes a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-only delta. (</w:t>
      </w:r>
      <w:r>
        <w:rPr>
          <w:rStyle w:val="VerbatimChar"/>
        </w:rPr>
        <w:t xml:space="preserve">v06-deploy/ha-and-multiregion.md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geoDNS (a) DNS-TTL failover captures too-slow recovery for a latency-critical fleet → adopt anycast (b) where the BGP/anycast capability exists; the (a)/(b)/(c) options are complementary, so the switch is additive (no client break).</w:t>
      </w:r>
    </w:p>
    <w:bookmarkEnd w:id="28"/>
    <w:bookmarkStart w:id="29" w:name="Xda1ce6f854b929d3b889f8b2434b79595882160"/>
    <w:p>
      <w:pPr>
        <w:pStyle w:val="Heading3"/>
      </w:pPr>
      <w:r>
        <w:t xml:space="preserve">D-DESIGN-EXTRACT / D-REPO-CREATE — extraction timing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D-DESIGN-EXTRACT (recommended: b).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decouples</w:t>
      </w:r>
      <w:r>
        <w:t xml:space="preserve"> </w:t>
      </w:r>
      <w:r>
        <w:rPr>
          <w:b/>
          <w:bCs/>
        </w:rPr>
        <w:t xml:space="preserve">day-one</w:t>
      </w:r>
      <w:r>
        <w:t xml:space="preserve"> </w:t>
      </w:r>
      <w:r>
        <w:t xml:space="preserve">as 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submodule (the Volume-10 §11.4.162 mandate), independent of code churn — unlike the six code pillars (D-REPO-CREATE).</w:t>
      </w:r>
      <w:r>
        <w:t xml:space="preserve"> </w:t>
      </w:r>
      <w:r>
        <w:rPr>
          <w:b/>
          <w:bCs/>
        </w:rPr>
        <w:t xml:space="preserve">Reversal:</w:t>
      </w:r>
      <w:r>
        <w:t xml:space="preserve"> </w:t>
      </w:r>
      <w:r>
        <w:t xml:space="preserve">n/a — a process/timing choice fixed by the Volume-10 §11.4.162 day-one-decoupling mandate; re-opening requires a §11.4.26 constitution amendment.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D-REPO-CREATE (recommended: b; operator-gated creation).</w:t>
      </w:r>
      <w:r>
        <w:t xml:space="preserve"> </w:t>
      </w:r>
      <w:r>
        <w:t xml:space="preserve">Extract the reusable code repos in</w:t>
      </w:r>
      <w:r>
        <w:t xml:space="preserve"> </w:t>
      </w:r>
      <w:r>
        <w:rPr>
          <w:b/>
          <w:bCs/>
        </w:rPr>
        <w:t xml:space="preserve">one batch at Phase-1 exit</w:t>
      </w:r>
      <w:r>
        <w:t xml:space="preserve"> </w:t>
      </w:r>
      <w:r>
        <w:t xml:space="preserve">(shared release prefix, stable seams). Remote repo creation (</w:t>
      </w:r>
      <w:r>
        <w:rPr>
          <w:rStyle w:val="VerbatimChar"/>
        </w:rPr>
        <w:t xml:space="preserve">gh repo 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glab</w:t>
      </w:r>
      <w:r>
        <w:t xml:space="preserve">) is irreversible/high-blast-radius and therefore</w:t>
      </w:r>
      <w:r>
        <w:t xml:space="preserve"> </w:t>
      </w:r>
      <w:r>
        <w:rPr>
          <w:b/>
          <w:bCs/>
        </w:rPr>
        <w:t xml:space="preserve">operator-gated</w:t>
      </w:r>
      <w:r>
        <w:t xml:space="preserve"> </w:t>
      </w:r>
      <w:r>
        <w:t xml:space="preserve">per §11.4.101 (the agent does not create org repos autonomously). Reversal: none — the timing is a process choice.</w:t>
      </w:r>
    </w:p>
    <w:bookmarkEnd w:id="29"/>
    <w:bookmarkStart w:id="31" w:name="X1c775fcb2d4dc3f6deff8fe110e9bad8e61f869"/>
    <w:p>
      <w:pPr>
        <w:pStyle w:val="Heading3"/>
      </w:pPr>
      <w:r>
        <w:t xml:space="preserve">D-OD-1 — OpenDesign reconciliation (operator decision, safe default taken)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finding.</w:t>
      </w:r>
      <w:r>
        <w:t xml:space="preserve"> </w:t>
      </w:r>
      <w:r>
        <w:t xml:space="preserve">Live web research (§11.4.99) found</w:t>
      </w:r>
      <w:r>
        <w:t xml:space="preserve"> </w:t>
      </w:r>
      <w:r>
        <w:rPr>
          <w:rStyle w:val="VerbatimChar"/>
        </w:rPr>
        <w:t xml:space="preserve">nexu-io/open-design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local-first generative-design authoring/refinement app</w:t>
      </w:r>
      <w:r>
        <w:t xml:space="preserve"> </w:t>
      </w:r>
      <w:r>
        <w:t xml:space="preserve">(DESIGN.md + tokens.css +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CLI + MCP)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npm token-dependency, and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emit Dart/Swift/Compose/ArkTS/C-Qt. This does not match §11.4.162's literal "install as a project dependency / use its design tokens" phrasing.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Safe default adopted (reversible — docs only, §11.4.101).</w:t>
      </w:r>
      <w:r>
        <w:t xml:space="preserve"> </w:t>
      </w:r>
      <w:r>
        <w:t xml:space="preserve">OpenDesign = the mandatory design</w:t>
      </w:r>
      <w:r>
        <w:t xml:space="preserve"> </w:t>
      </w:r>
      <w:r>
        <w:rPr>
          <w:i/>
          <w:iCs/>
        </w:rPr>
        <w:t xml:space="preserve">authoring/refinement</w:t>
      </w:r>
      <w:r>
        <w:t xml:space="preserve"> </w:t>
      </w:r>
      <w:r>
        <w:t xml:space="preserve">layer; the decoupled</w:t>
      </w:r>
      <w:r>
        <w:t xml:space="preserve"> </w:t>
      </w:r>
      <w:r>
        <w:rPr>
          <w:rStyle w:val="VerbatimChar"/>
        </w:rPr>
        <w:t xml:space="preserve">vasic-digital/helix_design</w:t>
      </w:r>
      <w:r>
        <w:t xml:space="preserve"> </w:t>
      </w:r>
      <w:r>
        <w:t xml:space="preserve">submodule owns the canonical tiered JSON token source + the polyglot exporters OpenDesign cannot produce. §11.4.162's</w:t>
      </w:r>
      <w:r>
        <w:t xml:space="preserve"> </w:t>
      </w:r>
      <w:r>
        <w:rPr>
          <w:b/>
          <w:bCs/>
        </w:rPr>
        <w:t xml:space="preserve">intent</w:t>
      </w:r>
      <w:r>
        <w:t xml:space="preserve"> </w:t>
      </w:r>
      <w:r>
        <w:t xml:space="preserve">(OpenDesign as the design system) is satisfied.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OPERATOR CONFIRMED (2026-06-26).</w:t>
      </w:r>
      <w:r>
        <w:t xml:space="preserve"> </w:t>
      </w:r>
      <w:r>
        <w:t xml:space="preserve">Option (a) confirmed — the safe default interpretation is accepted. OpenDesign as the authoring/refinement layer +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as the token source + exporter is the approved architecture.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Owning doc / record.</w:t>
      </w:r>
      <w:r>
        <w:t xml:space="preserve"> </w:t>
      </w:r>
      <w:r>
        <w:rPr>
          <w:rStyle w:val="VerbatimChar"/>
        </w:rPr>
        <w:t xml:space="preserve">v10-design/opendesign-foundation.md</w:t>
      </w:r>
      <w:r>
        <w:t xml:space="preserve">;</w:t>
      </w:r>
      <w:r>
        <w:t xml:space="preserve"> </w:t>
      </w:r>
      <w:hyperlink r:id="rId30">
        <w:r>
          <w:rPr>
            <w:rStyle w:val="VerbatimChar"/>
          </w:rPr>
          <w:t xml:space="preserve">../REFINEMENT_NOTES.md</w:t>
        </w:r>
      </w:hyperlink>
      <w:r>
        <w:t xml:space="preserve"> </w:t>
      </w:r>
      <w:r>
        <w:t xml:space="preserve">D-OD-1.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Reversal.</w:t>
      </w:r>
      <w:r>
        <w:t xml:space="preserve"> </w:t>
      </w:r>
      <w:r>
        <w:t xml:space="preserve">Operator picks (b) or (c); the docs-only default makes reversal cheap.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57330dd4598208a8ca241d8e7e6738ec0f5408f"/>
    <w:p>
      <w:pPr>
        <w:pStyle w:val="Heading2"/>
      </w:pPr>
      <w:r>
        <w:t xml:space="preserve">5. The gate → decision resolution map</w:t>
      </w:r>
    </w:p>
    <w:p>
      <w:pPr>
        <w:pStyle w:val="FirstParagraph"/>
      </w:pPr>
      <w:r>
        <w:t xml:space="preserve">The Phase-0/1 gates are the evidence engine that converts a</w:t>
      </w:r>
      <w:r>
        <w:t xml:space="preserve"> </w:t>
      </w:r>
      <w:r>
        <w:rPr>
          <w:i/>
          <w:iCs/>
        </w:rPr>
        <w:t xml:space="preserve">recommendation</w:t>
      </w:r>
      <w:r>
        <w:t xml:space="preserve"> </w:t>
      </w:r>
      <w:r>
        <w:t xml:space="preserve">into a</w:t>
      </w:r>
      <w:r>
        <w:t xml:space="preserve"> </w:t>
      </w:r>
      <w:r>
        <w:rPr>
          <w:i/>
          <w:iCs/>
        </w:rPr>
        <w:t xml:space="preserve">resolution</w:t>
      </w:r>
      <w:r>
        <w:t xml:space="preserve">. This is the reverse index of §1's "Resolved by" column.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 / trigger</w:t>
            </w:r>
          </w:p>
        </w:tc>
        <w:tc>
          <w:tcPr/>
          <w:p>
            <w:pPr>
              <w:pStyle w:val="Compact"/>
            </w:pPr>
            <w:r>
              <w:t xml:space="preserve">Decision it resolves</w:t>
            </w:r>
          </w:p>
        </w:tc>
        <w:tc>
          <w:tcPr/>
          <w:p>
            <w:pPr>
              <w:pStyle w:val="Compact"/>
            </w:pPr>
            <w:r>
              <w:t xml:space="preserve">Evidence 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D1 (MASQUE primary)</w:t>
            </w:r>
          </w:p>
        </w:tc>
        <w:tc>
          <w:tcPr/>
          <w:p>
            <w:pPr>
              <w:pStyle w:val="Compact"/>
            </w:pPr>
            <w:r>
              <w:t xml:space="preserve">throughput-under-DPI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D2 (Rust core) — make-or-break</w:t>
            </w:r>
          </w:p>
        </w:tc>
        <w:tc>
          <w:tcPr/>
          <w:p>
            <w:pPr>
              <w:pStyle w:val="Compact"/>
            </w:pPr>
            <w:r>
              <w:t xml:space="preserve">on-device RSS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D5 (edge language)</w:t>
            </w:r>
          </w:p>
        </w:tc>
        <w:tc>
          <w:tcPr/>
          <w:p>
            <w:pPr>
              <w:pStyle w:val="Compact"/>
            </w:pPr>
            <w:r>
              <w:t xml:space="preserve">head-to-head throughput/CPU/p99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D-FFI-*</w:t>
            </w:r>
          </w:p>
        </w:tc>
        <w:tc>
          <w:tcPr/>
          <w:p>
            <w:pPr>
              <w:pStyle w:val="Compact"/>
            </w:pPr>
            <w:r>
              <w:t xml:space="preserve">Flutter FFI status-stream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multi-connector overlap test</w:t>
            </w:r>
          </w:p>
        </w:tc>
        <w:tc>
          <w:tcPr/>
          <w:p>
            <w:pPr>
              <w:pStyle w:val="Compact"/>
            </w:pPr>
            <w:r>
              <w:t xml:space="preserve">D4 (4via6)</w:t>
            </w:r>
          </w:p>
        </w:tc>
        <w:tc>
          <w:tcPr/>
          <w:p>
            <w:pPr>
              <w:pStyle w:val="Compact"/>
            </w:pPr>
            <w:r>
              <w:t xml:space="preserve">distinct-address-space reach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Phase-2 bus-swap integration test</w:t>
            </w:r>
          </w:p>
        </w:tc>
        <w:tc>
          <w:tcPr/>
          <w:p>
            <w:pPr>
              <w:pStyle w:val="Compact"/>
            </w:pPr>
            <w:r>
              <w:t xml:space="preserve">D3 (Redis→NATS)</w:t>
            </w:r>
          </w:p>
        </w:tc>
        <w:tc>
          <w:tcPr/>
          <w:p>
            <w:pPr>
              <w:pStyle w:val="Compact"/>
            </w:pPr>
            <w:r>
              <w:t xml:space="preserve">bus-agnostic interface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v05-security/pki-and-certs.md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D-PKI-CA-TIER</w:t>
            </w:r>
          </w:p>
        </w:tc>
        <w:tc>
          <w:tcPr/>
          <w:p>
            <w:pPr>
              <w:pStyle w:val="Compact"/>
            </w:pPr>
            <w:r>
              <w:t xml:space="preserve">cross-tenant validation FAIL + chain-pin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pre-Phase-3 operator decision</w:t>
            </w:r>
          </w:p>
        </w:tc>
        <w:tc>
          <w:tcPr/>
          <w:p>
            <w:pPr>
              <w:pStyle w:val="Compact"/>
            </w:pPr>
            <w:r>
              <w:t xml:space="preserve">D8 (licensing), D-REPO-CREATE</w:t>
            </w:r>
          </w:p>
        </w:tc>
        <w:tc>
          <w:tcPr/>
          <w:p>
            <w:pPr>
              <w:pStyle w:val="Compact"/>
            </w:pPr>
            <w:r>
              <w:t xml:space="preserve">operator action (not autonomous)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reconcile-before-tag</w:t>
            </w:r>
          </w:p>
        </w:tc>
        <w:tc>
          <w:tcPr/>
          <w:p>
            <w:pPr>
              <w:pStyle w:val="Compact"/>
            </w:pPr>
            <w:r>
              <w:t xml:space="preserve">D-AC-1</w:t>
            </w:r>
          </w:p>
        </w:tc>
        <w:tc>
          <w:tcPr/>
          <w:p>
            <w:pPr>
              <w:pStyle w:val="Compact"/>
            </w:pPr>
            <w:r>
              <w:t xml:space="preserve">enum↔master-§7 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a41afe25d05ab1542de5f78461e3938646d6939"/>
    <w:p>
      <w:pPr>
        <w:pStyle w:val="Heading2"/>
      </w:pPr>
      <w:r>
        <w:t xml:space="preserve">6. Reversal-criteria summary (when a settled call re-opens)</w:t>
      </w:r>
    </w:p>
    <w:p>
      <w:pPr>
        <w:pStyle w:val="FirstParagraph"/>
      </w:pPr>
      <w:r>
        <w:t xml:space="preserve">Per §11.4.6 (no silent un-settling) + §11.4.7 (demotion needs same-conditions</w:t>
      </w:r>
      <w:r>
        <w:t xml:space="preserve"> </w:t>
      </w:r>
      <w:r>
        <w:t xml:space="preserve">evidence) + §11.4.114 (last-known-good regression isolation), a resolved decision</w:t>
      </w:r>
      <w:r>
        <w:t xml:space="preserve"> </w:t>
      </w:r>
      <w:r>
        <w:t xml:space="preserve">re-opens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captured evidence under the conditions that resolved it: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D1 → re-open</w:t>
      </w:r>
      <w:r>
        <w:t xml:space="preserve"> </w:t>
      </w:r>
      <w:r>
        <w:t xml:space="preserve">if G2 captured-fails ≥50%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Hysteria2-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build clears the same DPI sim.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D2 → re-open</w:t>
      </w:r>
      <w:r>
        <w:t xml:space="preserve"> </w:t>
      </w:r>
      <w:r>
        <w:t xml:space="preserve">if G3 captured-fails the iOS NE headroom (re-opens the whole client strategy).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D3 → pull NATS earlier</w:t>
      </w:r>
      <w:r>
        <w:t xml:space="preserve"> </w:t>
      </w:r>
      <w:r>
        <w:t xml:space="preserve">if Redis Streams captured-fails the convergence SLO at MVP scale.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D4 → NAT fallback</w:t>
      </w:r>
      <w:r>
        <w:t xml:space="preserve"> </w:t>
      </w:r>
      <w:r>
        <w:t xml:space="preserve">if 4via6 captured-fails on a target platform (FR-303 fallback already provisioned).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D5 → Go edge</w:t>
      </w:r>
      <w:r>
        <w:t xml:space="preserve"> </w:t>
      </w:r>
      <w:r>
        <w:t xml:space="preserve">if G4 captures Go materially ahead and reuse is judged not worth the gap.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D6 → per-leg</w:t>
      </w:r>
      <w:r>
        <w:t xml:space="preserve"> </w:t>
      </w:r>
      <w:r>
        <w:t xml:space="preserve">if a per-leg build captured-beats end-to-end WG under real DPI without breaking single-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reuse.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D-PKI-CA-TIER → add intermediate</w:t>
      </w:r>
      <w:r>
        <w:t xml:space="preserve"> </w:t>
      </w:r>
      <w:r>
        <w:t xml:space="preserve">if the single issuing CA captured-bottlenecks (additive, no client break).</w:t>
      </w:r>
    </w:p>
    <w:p>
      <w:pPr>
        <w:pStyle w:val="Compact"/>
        <w:numPr>
          <w:ilvl w:val="0"/>
          <w:numId w:val="1018"/>
        </w:numPr>
      </w:pPr>
      <w:r>
        <w:rPr>
          <w:i/>
          <w:i/>
          <w:iCs/>
          <w:iCs/>
        </w:rPr>
        <w:t xml:space="preserve">D-AC-2/3/4, D-KS-</w:t>
      </w:r>
      <w:r>
        <w:rPr>
          <w:i/>
          <w:iCs/>
        </w:rPr>
        <w:t xml:space="preserve"> </w:t>
      </w:r>
      <w:r>
        <w:rPr>
          <w:i/>
          <w:iCs/>
        </w:rPr>
        <w:t xml:space="preserve">→ pull into MVP</w:t>
      </w:r>
      <w:r>
        <w:t xml:space="preserve">* on a compliance/operator requirement (a §11.4.66 decision, not autonomous).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D8, D-REPO-CREATE, D-OD-1 → operator</w:t>
      </w:r>
      <w:r>
        <w:t xml:space="preserve"> </w:t>
      </w:r>
      <w:r>
        <w:t xml:space="preserve">— these are operator-gated; the agent never flips them autonomously (§11.4.101).</w:t>
      </w:r>
    </w:p>
    <w:p>
      <w:pPr>
        <w:pStyle w:val="BlockText"/>
      </w:pPr>
      <w:r>
        <w:rPr>
          <w:b/>
          <w:bCs/>
        </w:rPr>
        <w:t xml:space="preserve">§11.4.6 closing note.</w:t>
      </w:r>
      <w:r>
        <w:t xml:space="preserve"> </w:t>
      </w:r>
      <w:r>
        <w:t xml:space="preserve">No decision in this register is presented as resolved</w:t>
      </w:r>
      <w:r>
        <w:t xml:space="preserve"> </w:t>
      </w:r>
      <w:r>
        <w:t xml:space="preserve">ahead of its gate: D1/D2/D5/D-FFI await G2/G3/G4/G5 (all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</w:t>
      </w:r>
      <w:r>
        <w:t xml:space="preserve"> </w:t>
      </w:r>
      <w:r>
        <w:t xml:space="preserve">captured); D4 is a v1-must-decide whose recommendation is binding for MVP with a</w:t>
      </w:r>
      <w:r>
        <w:t xml:space="preserve"> </w:t>
      </w:r>
      <w:r>
        <w:t xml:space="preserve">provisioned fallback; D8 + the repo/OpenDesign calls are operator-gated. A</w:t>
      </w:r>
      <w:r>
        <w:t xml:space="preserve"> </w:t>
      </w:r>
      <w:r>
        <w:t xml:space="preserve">recommendation is a</w:t>
      </w:r>
      <w:r>
        <w:t xml:space="preserve"> </w:t>
      </w:r>
      <w:r>
        <w:rPr>
          <w:i/>
          <w:iCs/>
        </w:rPr>
        <w:t xml:space="preserve">plan</w:t>
      </w:r>
      <w:r>
        <w:t xml:space="preserve">, not a</w:t>
      </w:r>
      <w:r>
        <w:t xml:space="preserve"> </w:t>
      </w:r>
      <w:r>
        <w:rPr>
          <w:i/>
          <w:iCs/>
        </w:rPr>
        <w:t xml:space="preserve">finding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6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9"/>
        </w:numPr>
      </w:pPr>
      <w:hyperlink r:id="rId9">
        <w:r>
          <w:rPr>
            <w:rStyle w:val="VerbatimChar"/>
          </w:rPr>
          <w:t xml:space="preserve">../SPECIFICATION.md</w:t>
        </w:r>
      </w:hyperlink>
      <w:r>
        <w:t xml:space="preserve"> </w:t>
      </w:r>
      <w:r>
        <w:t xml:space="preserve">§9 (decision register D1–D8: camps, recommendations, "resolved by"), §8 (the phase gates G1–G6 that resolve D1/D2/D5).</w:t>
      </w:r>
    </w:p>
    <w:p>
      <w:pPr>
        <w:pStyle w:val="Compact"/>
        <w:numPr>
          <w:ilvl w:val="0"/>
          <w:numId w:val="1019"/>
        </w:numPr>
      </w:pPr>
      <w:hyperlink r:id="rId35">
        <w:r>
          <w:rPr>
            <w:rStyle w:val="VerbatimChar"/>
          </w:rPr>
          <w:t xml:space="preserve">../99-source-coverage-ledger.md</w:t>
        </w:r>
      </w:hyperlink>
      <w:r>
        <w:t xml:space="preserve"> </w:t>
      </w:r>
      <w:r>
        <w:t xml:space="preserve">§"Decision-coverage cross-check" (D1–D8 camp sources) + gaps G1/G2/G3 (rejected sing-box/Fyne, DR/RTO).</w:t>
      </w:r>
    </w:p>
    <w:p>
      <w:pPr>
        <w:pStyle w:val="Compact"/>
        <w:numPr>
          <w:ilvl w:val="0"/>
          <w:numId w:val="1019"/>
        </w:numPr>
      </w:pPr>
      <w:hyperlink r:id="rId30">
        <w:r>
          <w:rPr>
            <w:rStyle w:val="VerbatimChar"/>
          </w:rPr>
          <w:t xml:space="preserve">../REFINEMENT_NOTES.md</w:t>
        </w:r>
      </w:hyperlink>
      <w:r>
        <w:t xml:space="preserve"> </w:t>
      </w:r>
      <w:r>
        <w:t xml:space="preserve">F2 (proto unification), F3 (D8 added), R5 (subtask tiers), D-OD-1 (OpenDesign reconciliation + the three operator options).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v05-security/pki-and-certs.md</w:t>
      </w:r>
      <w:r>
        <w:t xml:space="preserve"> </w:t>
      </w:r>
      <w:r>
        <w:t xml:space="preserve">§2.1 (D-PKI-CA-TIER: single online issuing CA under offline/KMS root,</w:t>
      </w:r>
      <w:r>
        <w:t xml:space="preserve"> </w:t>
      </w:r>
      <w:r>
        <w:rPr>
          <w:rStyle w:val="VerbatimChar"/>
        </w:rPr>
        <w:t xml:space="preserve">ca_chain</w:t>
      </w:r>
      <w:r>
        <w:t xml:space="preserve"> </w:t>
      </w:r>
      <w:r>
        <w:t xml:space="preserve">≥ 1, additive promotion);</w:t>
      </w:r>
      <w:r>
        <w:t xml:space="preserve"> </w:t>
      </w:r>
      <w:r>
        <w:rPr>
          <w:rStyle w:val="VerbatimChar"/>
        </w:rPr>
        <w:t xml:space="preserve">audit-and-compliance.md</w:t>
      </w:r>
      <w:r>
        <w:t xml:space="preserve"> </w:t>
      </w:r>
      <w:r>
        <w:t xml:space="preserve">§13.1 (D-AC-1..4);</w:t>
      </w:r>
      <w:r>
        <w:t xml:space="preserve"> </w:t>
      </w:r>
      <w:r>
        <w:rPr>
          <w:rStyle w:val="VerbatimChar"/>
        </w:rPr>
        <w:t xml:space="preserve">kill-switch-and-dns-leak.md</w:t>
      </w:r>
      <w:r>
        <w:t xml:space="preserve"> </w:t>
      </w:r>
      <w:r>
        <w:t xml:space="preserve">§12.1 (D-KS-1..3).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v06-deploy/codegen-pipeline.md</w:t>
      </w:r>
      <w:r>
        <w:t xml:space="preserve"> </w:t>
      </w:r>
      <w:r>
        <w:t xml:space="preserve">(D-OPENAPI-AUTHORING, D-CODEGEN-TRACK, D-CODEGEN-NET);</w:t>
      </w:r>
      <w:r>
        <w:t xml:space="preserve"> </w:t>
      </w:r>
      <w:r>
        <w:rPr>
          <w:rStyle w:val="VerbatimChar"/>
        </w:rPr>
        <w:t xml:space="preserve">kubernetes.md</w:t>
      </w:r>
      <w:r>
        <w:t xml:space="preserve"> </w:t>
      </w:r>
      <w:r>
        <w:t xml:space="preserve">(D-K8S-EDGE-INGRESS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+</w:t>
      </w:r>
      <w:r>
        <w:rPr>
          <w:rStyle w:val="VerbatimChar"/>
        </w:rPr>
        <w:t xml:space="preserve">hostNetwork</w:t>
      </w:r>
      <w:r>
        <w:t xml:space="preserve">, D-K8S-PG-HA Patroni/CNPG);</w:t>
      </w:r>
      <w:r>
        <w:t xml:space="preserve"> </w:t>
      </w:r>
      <w:r>
        <w:rPr>
          <w:rStyle w:val="VerbatimChar"/>
        </w:rPr>
        <w:t xml:space="preserve">ha-and-multiregion.md</w:t>
      </w:r>
      <w:r>
        <w:t xml:space="preserve"> </w:t>
      </w:r>
      <w:r>
        <w:t xml:space="preserve">(D-GW-SELECT geoDNS/anycast/client-side);</w:t>
      </w:r>
      <w:r>
        <w:t xml:space="preserve"> </w:t>
      </w:r>
      <w:r>
        <w:rPr>
          <w:rStyle w:val="VerbatimChar"/>
        </w:rPr>
        <w:t xml:space="preserve">repo-layout-and-decoupling.md</w:t>
      </w:r>
      <w:r>
        <w:t xml:space="preserve"> </w:t>
      </w:r>
      <w:r>
        <w:t xml:space="preserve">§10 (D-REPO-CREATE, D-DESIGN-EXTRACT, D-LLM-POLICY).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v10-design/opendesign-foundation.md</w:t>
      </w:r>
      <w:r>
        <w:t xml:space="preserve"> </w:t>
      </w:r>
      <w:r>
        <w:t xml:space="preserve">(D-OD-1); the volume D-tag grep across</w:t>
      </w:r>
      <w:r>
        <w:t xml:space="preserve"> </w:t>
      </w:r>
      <w:r>
        <w:rPr>
          <w:rStyle w:val="VerbatimChar"/>
        </w:rPr>
        <w:t xml:space="preserve">v02/v03/v04/v05/v06/v10</w:t>
      </w:r>
      <w:r>
        <w:t xml:space="preserve"> </w:t>
      </w:r>
      <w:r>
        <w:t xml:space="preserve">for the surfaced-decision index (§3).</w:t>
      </w:r>
    </w:p>
    <w:p>
      <w:pPr>
        <w:pStyle w:val="FirstParagraph"/>
      </w:pPr>
      <w:r>
        <w:rPr>
          <w:i/>
          <w:iCs/>
        </w:rPr>
        <w:t xml:space="preserve">Constitution bindings: §11.4.44 (revision header), §11.4.6 (no decision resolved ahead of its gate; recommendations ≠ findings), §11.4.66 (options-not-free-text), §11.4.101 (irreversible/high-blast-radius decisions operator-gated — D8/D-REPO-CREATE/D-OD-1), §11.4.7/.114 (reversal needs same-conditions / known-good evidence), §11.4.73 (spine wins on conflict until amended), §11.4.35 (per-doc callouts stay authoritative in their owning doc), §11.4.65/.153 (HTML+PDF[+DOCX] exports follow in refinement).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../99-source-coverage-ledger.md" TargetMode="External" /><Relationship Type="http://schemas.openxmlformats.org/officeDocument/2006/relationships/hyperlink" Id="rId30" Target="../REFINEMENT_NOTES.md" TargetMode="External" /><Relationship Type="http://schemas.openxmlformats.org/officeDocument/2006/relationships/hyperlink" Id="rId9" Target="../SPEC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../99-source-coverage-ledger.md" TargetMode="External" /><Relationship Type="http://schemas.openxmlformats.org/officeDocument/2006/relationships/hyperlink" Id="rId30" Target="../REFINEMENT_NOTES.md" TargetMode="External" /><Relationship Type="http://schemas.openxmlformats.org/officeDocument/2006/relationships/hyperlink" Id="rId9" Target="../SPEC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Master Decision Register (expanded)</dc:title>
  <dc:creator/>
  <cp:keywords/>
  <dcterms:created xsi:type="dcterms:W3CDTF">2026-07-04T13:36:27Z</dcterms:created>
  <dcterms:modified xsi:type="dcterms:W3CDTF">2026-07-04T13:36:27Z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