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3 (Extended Reach) Subtask Deepening — epic → task → subtask (closes R5)</w:t>
      </w:r>
    </w:p>
    <w:bookmarkStart w:id="21" w:name="Xee95819d68d514cc0da04c6c468ffcadb83fefc"/>
    <w:p>
      <w:pPr>
        <w:pStyle w:val="Heading1"/>
      </w:pPr>
      <w:r>
        <w:t xml:space="preserve">Phase 3 (Extended Reach) Subtask Deepening — epic → task → subtask (closes R5)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Independent gap-analysis pass — structure and honesty 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PENDING_DEVICE:</w:t>
      </w:r>
      <w:r>
        <w:t xml:space="preserve">/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vocabulary) verified consistent with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and the sibling Phase-1/Phase-2 deepening docs. No</w:t>
      </w:r>
      <w:r>
        <w:t xml:space="preserve"> </w:t>
      </w:r>
      <w:r>
        <w:t xml:space="preserve">contradictions found.</w:t>
      </w:r>
    </w:p>
    <w:p>
      <w:pPr>
        <w:pStyle w:val="BlockText"/>
      </w:pPr>
      <w:r>
        <w:t xml:space="preserve">Volume 7 (Phase Execution), document 5 of 5. Companion to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-p2.md</w:t>
      </w:r>
      <w:r>
        <w:t xml:space="preserve">, applying the R5 deepening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REFINEMENT_NOTES.md</w:t>
      </w:r>
      <w:r>
        <w:t xml:space="preserve">) to Phase 3: every task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is decomposed into PR-sized subtasks</w:t>
      </w:r>
      <w:r>
        <w:t xml:space="preserve"> </w:t>
      </w:r>
      <w:r>
        <w:rPr>
          <w:rStyle w:val="VerbatimChar"/>
        </w:rPr>
        <w:t xml:space="preserve">HVPN-P3-NNN.k</w:t>
      </w:r>
      <w:r>
        <w:t xml:space="preserve"> </w:t>
      </w:r>
      <w:r>
        <w:t xml:space="preserve">(§11.4.93/.54), each with a concrete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(falsifiable,</w:t>
      </w:r>
      <w:r>
        <w:t xml:space="preserve"> </w:t>
      </w:r>
      <w:r>
        <w:t xml:space="preserve">captured-evidence §11.4.5/.69/.107), the</w:t>
      </w:r>
      <w:r>
        <w:t xml:space="preserve"> </w:t>
      </w:r>
      <w:r>
        <w:rPr>
          <w:b/>
          <w:bCs/>
        </w:rPr>
        <w:t xml:space="preserve">§11.4.169 test types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 vocabulary incl. the Phase-3-specific</w:t>
      </w:r>
      <w:r>
        <w:t xml:space="preserve"> </w:t>
      </w:r>
      <w:r>
        <w:rPr>
          <w:rStyle w:val="VerbatimChar"/>
        </w:rPr>
        <w:t xml:space="preserve">REPRO</w:t>
      </w:r>
      <w:r>
        <w:t xml:space="preserve">), and an</w:t>
      </w:r>
      <w:r>
        <w:t xml:space="preserve"> </w:t>
      </w:r>
      <w:r>
        <w:rPr>
          <w:b/>
          <w:bCs/>
        </w:rPr>
        <w:t xml:space="preserve">estimated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</w:t>
      </w:r>
      <w:r>
        <w:t xml:space="preserve"> </w:t>
      </w:r>
      <w:r>
        <w:t xml:space="preserve">(engineer-day T-shirt,</w:t>
      </w:r>
      <w:r>
        <w:t xml:space="preserve"> </w:t>
      </w:r>
      <w:r>
        <w:rPr>
          <w:b/>
          <w:bCs/>
        </w:rPr>
        <w:t xml:space="preserve">widest error bars in the programme</w:t>
      </w:r>
      <w:r>
        <w:t xml:space="preserve">,</w:t>
      </w:r>
      <w:r>
        <w:t xml:space="preserve"> </w:t>
      </w:r>
      <w:r>
        <w:t xml:space="preserve">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§11.4.6).</w:t>
      </w:r>
      <w:r>
        <w:t xml:space="preserve"> </w:t>
      </w:r>
      <w:r>
        <w:rPr>
          <w:b/>
          <w:bCs/>
        </w:rPr>
        <w:t xml:space="preserve">Spec-only.</w:t>
      </w:r>
      <w:r>
        <w:t xml:space="preserve"> </w:t>
      </w:r>
      <w:r>
        <w:t xml:space="preserve">Phase 3 is the one phase where</w:t>
      </w:r>
      <w:r>
        <w:t xml:space="preserve"> </w:t>
      </w:r>
      <w:r>
        <w:rPr>
          <w:i/>
          <w:iCs/>
        </w:rPr>
        <w:t xml:space="preserve">"ship what's provable, flag the rest honestly"</w:t>
      </w:r>
      <w:r>
        <w:t xml:space="preserve"> </w:t>
      </w:r>
      <w:r>
        <w:t xml:space="preserve">is the correct stance 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§13): the two native shims (E21 HarmonyOS, E22 Aurora) are real native work on</w:t>
      </w:r>
      <w:r>
        <w:t xml:space="preserve"> </w:t>
      </w:r>
      <w:r>
        <w:t xml:space="preserve">toolchains the project does not yet own hardware/CI for, so device-gated</w:t>
      </w:r>
      <w:r>
        <w:t xml:space="preserve"> </w:t>
      </w:r>
      <w:r>
        <w:t xml:space="preserve">acceptances are marked</w:t>
      </w:r>
      <w:r>
        <w:t xml:space="preserve"> </w:t>
      </w:r>
      <w:r>
        <w:rPr>
          <w:rStyle w:val="VerbatimChar"/>
          <w:b/>
          <w:bCs/>
        </w:rPr>
        <w:t xml:space="preserve">PENDING_DEVICE:</w:t>
      </w:r>
      <w:r>
        <w:t xml:space="preserve"> </w:t>
      </w:r>
      <w:r>
        <w:t xml:space="preserve">(§11.4.3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)</w:t>
      </w:r>
      <w:r>
        <w:t xml:space="preserve"> </w:t>
      </w:r>
      <w:r>
        <w:t xml:space="preserve">and engagement-gated ones</w:t>
      </w:r>
      <w:r>
        <w:t xml:space="preserve"> </w:t>
      </w:r>
      <w:r>
        <w:rPr>
          <w:rStyle w:val="VerbatimChar"/>
          <w:b/>
          <w:bCs/>
        </w:rPr>
        <w:t xml:space="preserve">Operator-blocked</w:t>
      </w:r>
      <w:r>
        <w:t xml:space="preserve"> </w:t>
      </w:r>
      <w:r>
        <w:t xml:space="preserve">(§11.4.21/.101) — never a</w:t>
      </w:r>
      <w:r>
        <w:t xml:space="preserve"> </w:t>
      </w:r>
      <w:r>
        <w:t xml:space="preserve">faked pass. Every subtask traces to its parent task in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. These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rows</w:t>
      </w:r>
      <w:r>
        <w:t xml:space="preserve"> </w:t>
      </w:r>
      <w:r>
        <w:t xml:space="preserve">feed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DB 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§7).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e691a4f2c0ff59981934dadd76a48e1319b137">
        <w:r>
          <w:rPr>
            <w:rStyle w:val="Hyperlink"/>
          </w:rPr>
          <w:t xml:space="preserve">0. Deepening conventions + the honesty stance</w:t>
        </w:r>
      </w:hyperlink>
    </w:p>
    <w:p>
      <w:pPr>
        <w:pStyle w:val="Compact"/>
        <w:numPr>
          <w:ilvl w:val="0"/>
          <w:numId w:val="1001"/>
        </w:numPr>
      </w:pPr>
      <w:hyperlink w:anchor="Xc669cd06600648a8a4b8820b8cf15e89c6e9e2f">
        <w:r>
          <w:rPr>
            <w:rStyle w:val="Hyperlink"/>
          </w:rPr>
          <w:t xml:space="preserve">1. E20 — Reach CI fabric (gate G20)</w:t>
        </w:r>
      </w:hyperlink>
    </w:p>
    <w:p>
      <w:pPr>
        <w:pStyle w:val="Compact"/>
        <w:numPr>
          <w:ilvl w:val="0"/>
          <w:numId w:val="1001"/>
        </w:numPr>
      </w:pPr>
      <w:hyperlink w:anchor="Xbee85303f4add115c4f35b5a802f19bef36a4cf">
        <w:r>
          <w:rPr>
            <w:rStyle w:val="Hyperlink"/>
          </w:rPr>
          <w:t xml:space="preserve">2. E21 — HarmonyOS NEXT build (G21, highest risk)</w:t>
        </w:r>
      </w:hyperlink>
    </w:p>
    <w:p>
      <w:pPr>
        <w:pStyle w:val="Compact"/>
        <w:numPr>
          <w:ilvl w:val="0"/>
          <w:numId w:val="1001"/>
        </w:numPr>
      </w:pPr>
      <w:hyperlink w:anchor="Xafc57312ac144e8d19a674c2002b0cab1e241a0">
        <w:r>
          <w:rPr>
            <w:rStyle w:val="Hyperlink"/>
          </w:rPr>
          <w:t xml:space="preserve">3. E22 — Aurora OS build (G22)</w:t>
        </w:r>
      </w:hyperlink>
    </w:p>
    <w:p>
      <w:pPr>
        <w:pStyle w:val="Compact"/>
        <w:numPr>
          <w:ilvl w:val="0"/>
          <w:numId w:val="1001"/>
        </w:numPr>
      </w:pPr>
      <w:hyperlink w:anchor="Xf86bf6abe423226dd15fab4f23d5611fcfa28e3">
        <w:r>
          <w:rPr>
            <w:rStyle w:val="Hyperlink"/>
          </w:rPr>
          <w:t xml:space="preserve">4. E23 — WASM browser-scoped MASQUE proxy (G23)</w:t>
        </w:r>
      </w:hyperlink>
    </w:p>
    <w:p>
      <w:pPr>
        <w:pStyle w:val="Compact"/>
        <w:numPr>
          <w:ilvl w:val="0"/>
          <w:numId w:val="1001"/>
        </w:numPr>
      </w:pPr>
      <w:hyperlink w:anchor="X4ba539f20440f8c48d40af440b915e654028f21">
        <w:r>
          <w:rPr>
            <w:rStyle w:val="Hyperlink"/>
          </w:rPr>
          <w:t xml:space="preserve">5. E24 — Billing-optional multi-tenant (G24)</w:t>
        </w:r>
      </w:hyperlink>
    </w:p>
    <w:p>
      <w:pPr>
        <w:pStyle w:val="Compact"/>
        <w:numPr>
          <w:ilvl w:val="0"/>
          <w:numId w:val="1001"/>
        </w:numPr>
      </w:pPr>
      <w:hyperlink w:anchor="Xdea226b08304d4d2c29ba6f9fb471a2b374f945">
        <w:r>
          <w:rPr>
            <w:rStyle w:val="Hyperlink"/>
          </w:rPr>
          <w:t xml:space="preserve">6. E25 — Third-party security audit (G25)</w:t>
        </w:r>
      </w:hyperlink>
    </w:p>
    <w:p>
      <w:pPr>
        <w:pStyle w:val="Compact"/>
        <w:numPr>
          <w:ilvl w:val="0"/>
          <w:numId w:val="1001"/>
        </w:numPr>
      </w:pPr>
      <w:hyperlink w:anchor="X4a7965cb711b7ea18a4d89c17bde1f209d37bf5">
        <w:r>
          <w:rPr>
            <w:rStyle w:val="Hyperlink"/>
          </w:rPr>
          <w:t xml:space="preserve">7. E26 — Reproducible builds (G26)</w:t>
        </w:r>
      </w:hyperlink>
    </w:p>
    <w:p>
      <w:pPr>
        <w:pStyle w:val="Compact"/>
        <w:numPr>
          <w:ilvl w:val="0"/>
          <w:numId w:val="1001"/>
        </w:numPr>
      </w:pPr>
      <w:hyperlink w:anchor="X94f678a00aa256c16c797068b73d53ca59f09df">
        <w:r>
          <w:rPr>
            <w:rStyle w:val="Hyperlink"/>
          </w:rPr>
          <w:t xml:space="preserve">8. E27 — Reach l10n, governance, release</w:t>
        </w:r>
      </w:hyperlink>
    </w:p>
    <w:p>
      <w:pPr>
        <w:pStyle w:val="Compact"/>
        <w:numPr>
          <w:ilvl w:val="0"/>
          <w:numId w:val="1001"/>
        </w:numPr>
      </w:pPr>
      <w:hyperlink w:anchor="X63bd8f3c61ba31ce9a4b8a10265db774f95f1ff">
        <w:r>
          <w:rPr>
            <w:rStyle w:val="Hyperlink"/>
          </w:rPr>
          <w:t xml:space="preserve">9. Subtask roll-up + honest-gap ledger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ae691a4f2c0ff59981934dadd76a48e1319b137"/>
    <w:p>
      <w:pPr>
        <w:pStyle w:val="Heading2"/>
      </w:pPr>
      <w:r>
        <w:t xml:space="preserve">0. Deepening conventions + the honesty stance</w:t>
      </w:r>
    </w:p>
    <w:p>
      <w:pPr>
        <w:pStyle w:val="FirstParagraph"/>
      </w:pPr>
      <w:r>
        <w:t xml:space="preserve">Columns as in</w:t>
      </w:r>
      <w:r>
        <w:t xml:space="preserve"> </w:t>
      </w:r>
      <w:r>
        <w:rPr>
          <w:rStyle w:val="VerbatimChar"/>
        </w:rPr>
        <w:t xml:space="preserve">-p1</w:t>
      </w:r>
      <w:r>
        <w:t xml:space="preserve">/</w:t>
      </w:r>
      <w:r>
        <w:rPr>
          <w:rStyle w:val="VerbatimChar"/>
        </w:rPr>
        <w:t xml:space="preserve">-p2</w:t>
      </w:r>
      <w:r>
        <w:t xml:space="preserve"> </w:t>
      </w:r>
      <w:r>
        <w:t xml:space="preserve">§0: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HVPN-P3-NNN.k</w:t>
      </w:r>
      <w:r>
        <w:t xml:space="preserve">) ·</w:t>
      </w:r>
      <w:r>
        <w:t xml:space="preserve"> </w:t>
      </w:r>
      <w:r>
        <w:rPr>
          <w:b/>
          <w:bCs/>
        </w:rPr>
        <w:t xml:space="preserve">Subtask</w:t>
      </w:r>
      <w:r>
        <w:t xml:space="preserve"> </w:t>
      </w:r>
      <w:r>
        <w:t xml:space="preserve">(≥6 words</w:t>
      </w:r>
      <w:r>
        <w:t xml:space="preserve"> </w:t>
      </w:r>
      <w:r>
        <w:t xml:space="preserve">§11.4.91) ·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(§11.4.169 codes,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 vocab incl.</w:t>
      </w:r>
      <w:r>
        <w:t xml:space="preserve"> </w:t>
      </w:r>
      <w:r>
        <w:rPr>
          <w:rStyle w:val="VerbatimChar"/>
        </w:rPr>
        <w:t xml:space="preserve">REPRO</w:t>
      </w:r>
      <w:r>
        <w:t xml:space="preserve">) ·</w:t>
      </w:r>
      <w:r>
        <w:t xml:space="preserve"> </w:t>
      </w:r>
      <w:r>
        <w:rPr>
          <w:b/>
          <w:bCs/>
        </w:rPr>
        <w:t xml:space="preserve">Cx</w:t>
      </w:r>
      <w:r>
        <w:t xml:space="preserve"> </w:t>
      </w:r>
      <w:r>
        <w:t xml:space="preserve">(XS/S/M/L engineer-days,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Phase-3 honesty stance (§11.4.6,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09-…</w:t>
      </w:r>
      <w:r>
        <w:rPr>
          <w:b/>
          <w:bCs/>
        </w:rPr>
        <w:t xml:space="preserve"> </w:t>
      </w:r>
      <w:r>
        <w:rPr>
          <w:b/>
          <w:bCs/>
        </w:rPr>
        <w:t xml:space="preserve">§0/§13).</w:t>
      </w:r>
      <w:r>
        <w:t xml:space="preserve"> </w:t>
      </w:r>
      <w:r>
        <w:t xml:space="preserve">Where a subtask's acceptance</w:t>
      </w:r>
      <w:r>
        <w:t xml:space="preserve"> </w:t>
      </w:r>
      <w:r>
        <w:t xml:space="preserve">genuinely cannot be proven without the target device or an external engagement,</w:t>
      </w:r>
      <w:r>
        <w:t xml:space="preserve"> </w:t>
      </w:r>
      <w:r>
        <w:t xml:space="preserve">the acceptance carries the literal</w:t>
      </w:r>
      <w:r>
        <w:t xml:space="preserve"> 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(device-gated, §11.4.3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) or the item's status is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(engagement /</w:t>
      </w:r>
      <w:r>
        <w:t xml:space="preserve"> </w:t>
      </w:r>
      <w:r>
        <w:t xml:space="preserve">spend, §11.4.21/.101) with the §11.4.148 D3 unblock condition. A gate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 metadata/config-only evidence; the runtime signature (§11.4.108)</w:t>
      </w:r>
      <w:r>
        <w:t xml:space="preserve"> </w:t>
      </w:r>
      <w:r>
        <w:t xml:space="preserve">for the native shims is asserted on a</w:t>
      </w:r>
      <w:r>
        <w:t xml:space="preserve"> </w:t>
      </w:r>
      <w:r>
        <w:rPr>
          <w:b/>
          <w:bCs/>
        </w:rPr>
        <w:t xml:space="preserve">clean install on the real device</w:t>
      </w:r>
      <w:r>
        <w:t xml:space="preserve"> </w:t>
      </w:r>
      <w:r>
        <w:t xml:space="preserve">— an</w:t>
      </w:r>
      <w:r>
        <w:t xml:space="preserve"> </w:t>
      </w:r>
      <w:r>
        <w:t xml:space="preserve">APK/HAP/RPM that</w:t>
      </w:r>
      <w:r>
        <w:t xml:space="preserve"> </w:t>
      </w:r>
      <w:r>
        <w:rPr>
          <w:i/>
          <w:iCs/>
        </w:rPr>
        <w:t xml:space="preserve">builds</w:t>
      </w:r>
      <w:r>
        <w:t xml:space="preserve"> </w:t>
      </w:r>
      <w:r>
        <w:t xml:space="preserve">is not</w:t>
      </w:r>
      <w:r>
        <w:t xml:space="preserve"> </w:t>
      </w:r>
      <w:r>
        <w:rPr>
          <w:i/>
          <w:iCs/>
        </w:rPr>
        <w:t xml:space="preserve">done</w:t>
      </w:r>
      <w:r>
        <w:t xml:space="preserve">. No active CI (§11.4.156): the "fork</w:t>
      </w:r>
      <w:r>
        <w:t xml:space="preserve"> </w:t>
      </w:r>
      <w:r>
        <w:t xml:space="preserve">runners" are local/self-hosted rootless-Podman build pods, never GitHub/GitLab</w:t>
      </w:r>
      <w:r>
        <w:t xml:space="preserve"> </w:t>
      </w:r>
      <w:r>
        <w:t xml:space="preserve">workflows.</w:t>
      </w:r>
    </w:p>
    <w:p>
      <w:r>
        <w:pict>
          <v:rect style="width:0;height:1.5pt" o:hralign="center" o:hrstd="t" o:hr="t"/>
        </w:pict>
      </w:r>
    </w:p>
    <w:bookmarkEnd w:id="10"/>
    <w:bookmarkStart w:id="11" w:name="Xc669cd06600648a8a4b8820b8cf15e89c6e9e2f"/>
    <w:p>
      <w:pPr>
        <w:pStyle w:val="Heading2"/>
      </w:pPr>
      <w:r>
        <w:t xml:space="preserve">1. E20 — Reach CI fabric (gate G20)</w:t>
      </w:r>
    </w:p>
    <w:p>
      <w:pPr>
        <w:pStyle w:val="FirstParagraph"/>
      </w:pPr>
      <w:r>
        <w:rPr>
          <w:i/>
          <w:iCs/>
        </w:rPr>
        <w:t xml:space="preserve">Self-hosted rootless Podman build pods (§11.4.76/.161/.156); a fork lag never blocks mainline.</w:t>
      </w:r>
    </w:p>
    <w:p>
      <w:pPr>
        <w:pStyle w:val="BodyText"/>
      </w:pPr>
      <w:r>
        <w:rPr>
          <w:b/>
          <w:bCs/>
        </w:rPr>
        <w:t xml:space="preserve">HVPN-P3-200 — Pin OpenHarmony-SIG Flutter fork + DevEco toolchain in a pod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§5;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harmonyos.container</w:t>
            </w:r>
            <w:r>
              <w:t xml:space="preserve"> </w:t>
            </w:r>
            <w:r>
              <w:t xml:space="preserve">quadlet building a HAP from the pinned</w:t>
            </w:r>
            <w:r>
              <w:t xml:space="preserve"> </w:t>
            </w:r>
            <w:r>
              <w:rPr>
                <w:rStyle w:val="VerbatimChar"/>
              </w:rPr>
              <w:t xml:space="preserve">flutter_flutter</w:t>
            </w:r>
            <w:r>
              <w:t xml:space="preserve"> </w:t>
            </w:r>
            <w:r>
              <w:rPr>
                <w:rStyle w:val="VerbatimChar"/>
              </w:rPr>
              <w:t xml:space="preserve">ohos</w:t>
            </w:r>
            <w:r>
              <w:t xml:space="preserve"> </w:t>
            </w: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build</w:t>
            </w:r>
            <w:r>
              <w:t xml:space="preserve"> </w:t>
            </w:r>
            <w:r>
              <w:t xml:space="preserve">produces a HAP from the sample app; toolchain SHA recorded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DevEco signing material mounted read-only as secrets (§11.4.10)</w:t>
            </w:r>
          </w:p>
        </w:tc>
        <w:tc>
          <w:tcPr/>
          <w:p>
            <w:pPr>
              <w:pStyle w:val="Compact"/>
            </w:pPr>
            <w:r>
              <w:t xml:space="preserve">secrets never in the image layer (SEC leak audit green)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REPRO: same SHA → same toolchain digest</w:t>
            </w:r>
          </w:p>
        </w:tc>
        <w:tc>
          <w:tcPr/>
          <w:p>
            <w:pPr>
              <w:pStyle w:val="Compact"/>
            </w:pPr>
            <w:r>
              <w:t xml:space="preserve">identical toolchain digest on rebuild (REPRO)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HVPN-P3-201 — Pin OMP Aurora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flutter-aurora</w:t>
      </w:r>
      <w:r>
        <w:rPr>
          <w:b/>
          <w:bCs/>
        </w:rPr>
        <w:t xml:space="preserve"> </w:t>
      </w:r>
      <w:r>
        <w:rPr>
          <w:b/>
          <w:bCs/>
        </w:rPr>
        <w:t xml:space="preserve">fork + RPM signing pod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§5;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aurora.container</w:t>
            </w:r>
            <w:r>
              <w:t xml:space="preserve"> </w:t>
            </w:r>
            <w:r>
              <w:t xml:space="preserve">quadlet producing a signed Aurora RPM</w:t>
            </w:r>
          </w:p>
        </w:tc>
        <w:tc>
          <w:tcPr/>
          <w:p>
            <w:pPr>
              <w:pStyle w:val="Compact"/>
            </w:pPr>
            <w:r>
              <w:t xml:space="preserve">signed RPM of the sample app builds;</w:t>
            </w:r>
            <w:r>
              <w:t xml:space="preserve"> </w:t>
            </w:r>
            <w:r>
              <w:rPr>
                <w:rStyle w:val="VerbatimChar"/>
              </w:rPr>
              <w:t xml:space="preserve">rpm -K</w:t>
            </w:r>
            <w:r>
              <w:t xml:space="preserve"> </w:t>
            </w:r>
            <w:r>
              <w:t xml:space="preserve">verifies the signature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Mirror-pin the Russian-hosted SDK (§11.4.77 regen) + isolated egress allow-list</w:t>
            </w:r>
          </w:p>
        </w:tc>
        <w:tc>
          <w:tcPr/>
          <w:p>
            <w:pPr>
              <w:pStyle w:val="Compact"/>
            </w:pPr>
            <w:r>
              <w:t xml:space="preserve">SDK tarball SHA-256 matches the recorded manifest; egress allow-list holds</w:t>
            </w:r>
          </w:p>
        </w:tc>
        <w:tc>
          <w:tcPr/>
          <w:p>
            <w:pPr>
              <w:pStyle w:val="Compact"/>
            </w:pPr>
            <w:r>
              <w:t xml:space="preserve">SEC,REPRO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HVPN-P3-202 — Reach release-artifact registry + provenance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§5;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  <w:r>
              <w:t xml:space="preserve"> </w:t>
            </w:r>
            <w:r>
              <w:rPr>
                <w:rStyle w:val="VerbatimChar"/>
              </w:rPr>
              <w:t xml:space="preserve">reach_artifacts.json</w:t>
            </w:r>
            <w:r>
              <w:t xml:space="preserve"> </w:t>
            </w:r>
            <w:r>
              <w:t xml:space="preserve">(source SHA + toolchain digest + SBOM pointer per HAP/RPM/.wasm)</w:t>
            </w:r>
          </w:p>
        </w:tc>
        <w:tc>
          <w:tcPr/>
          <w:p>
            <w:pPr>
              <w:pStyle w:val="Compact"/>
            </w:pPr>
            <w:r>
              <w:t xml:space="preserve">manifest entry per build, schema-validated, links resolve</w:t>
            </w:r>
          </w:p>
        </w:tc>
        <w:tc>
          <w:tcPr/>
          <w:p>
            <w:pPr>
              <w:pStyle w:val="Compact"/>
            </w:pPr>
            <w:r>
              <w:t xml:space="preserve">UNIT,FA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HVPN-P3-203 — G20 readiness certification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§5; XS)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reach-ci-gate</w:t>
            </w:r>
            <w:r>
              <w:t xml:space="preserve"> </w:t>
            </w:r>
            <w:r>
              <w:t xml:space="preserve">builds+signs both fork artefacts, emits the G20 verdict</w:t>
            </w:r>
          </w:p>
        </w:tc>
        <w:tc>
          <w:tcPr/>
          <w:p>
            <w:pPr>
              <w:pStyle w:val="Compact"/>
            </w:pPr>
            <w:r>
              <w:t xml:space="preserve">HAP + signed RPM both produced from a clean checkout in two</w:t>
            </w:r>
            <w:r>
              <w:t xml:space="preserve"> </w:t>
            </w:r>
            <w:r>
              <w:rPr>
                <w:rStyle w:val="VerbatimChar"/>
              </w:rPr>
              <w:t xml:space="preserve">-count=2</w:t>
            </w:r>
            <w:r>
              <w:t xml:space="preserve"> </w:t>
            </w:r>
            <w:r>
              <w:t xml:space="preserve">runs; 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</w:p>
        </w:tc>
        <w:tc>
          <w:tcPr/>
          <w:p>
            <w:pPr>
              <w:pStyle w:val="Compact"/>
            </w:pPr>
            <w:r>
              <w:t xml:space="preserve">FA,CHAL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ee85303f4add115c4f35b5a802f19bef36a4cf"/>
    <w:p>
      <w:pPr>
        <w:pStyle w:val="Heading2"/>
      </w:pPr>
      <w:r>
        <w:t xml:space="preserve">2. E21 — HarmonyOS NEXT build (G21, highest risk)</w:t>
      </w:r>
    </w:p>
    <w:p>
      <w:pPr>
        <w:pStyle w:val="FirstParagraph"/>
      </w:pPr>
      <w:r>
        <w:rPr>
          <w:i/>
          <w:iCs/>
        </w:rPr>
        <w:t xml:space="preserve">ArkTS VPN ability + NAPI bridge to the Rust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.so</w:t>
      </w:r>
      <w:r>
        <w:rPr>
          <w:i/>
          <w:iCs/>
        </w:rPr>
        <w:t xml:space="preserve">; the UI ports for free, the tunnel ability is real native work.</w:t>
      </w:r>
    </w:p>
    <w:p>
      <w:pPr>
        <w:pStyle w:val="BodyText"/>
      </w:pPr>
      <w:r>
        <w:rPr>
          <w:b/>
          <w:bCs/>
        </w:rPr>
        <w:t xml:space="preserve">HVPN-P3-210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cross-compile to OpenHarmony + NAPI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§6;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aarch64-unknown-linux-ohos</w:t>
            </w:r>
            <w:r>
              <w:t xml:space="preserve">; emit</w:t>
            </w:r>
            <w:r>
              <w:t xml:space="preserve"> </w:t>
            </w:r>
            <w:r>
              <w:rPr>
                <w:rStyle w:val="VerbatimChar"/>
              </w:rPr>
              <w:t xml:space="preserve">libhelix_ohos.so</w:t>
            </w:r>
            <w:r>
              <w:t xml:space="preserve"> </w:t>
            </w:r>
            <w:r>
              <w:t xml:space="preserve">NAPI module (re-exports the platform-neutral core, §11.4.28)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loads in an ArkTS test harness;</w:t>
            </w:r>
            <w:r>
              <w:t xml:space="preserve"> </w:t>
            </w:r>
            <w:r>
              <w:rPr>
                <w:rStyle w:val="VerbatimChar"/>
              </w:rPr>
              <w:t xml:space="preserve">helix_version()</w:t>
            </w:r>
            <w:r>
              <w:t xml:space="preserve"> </w:t>
            </w:r>
            <w:r>
              <w:t xml:space="preserve">round-trips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helix_start(fd,cfg)</w:t>
            </w:r>
            <w:r>
              <w:t xml:space="preserve">/</w:t>
            </w:r>
            <w:r>
              <w:rPr>
                <w:rStyle w:val="VerbatimChar"/>
              </w:rPr>
              <w:t xml:space="preserve">helix_stop</w:t>
            </w:r>
            <w:r>
              <w:t xml:space="preserve">/</w:t>
            </w:r>
            <w:r>
              <w:rPr>
                <w:rStyle w:val="VerbatimChar"/>
              </w:rPr>
              <w:t xml:space="preserve">helix_subscribe</w:t>
            </w:r>
            <w:r>
              <w:t xml:space="preserve"> </w:t>
            </w:r>
            <w:r>
              <w:t xml:space="preserve">NAPI surface over the unchanged core</w:t>
            </w:r>
          </w:p>
        </w:tc>
        <w:tc>
          <w:tcPr/>
          <w:p>
            <w:pPr>
              <w:pStyle w:val="Compact"/>
            </w:pPr>
            <w:r>
              <w:t xml:space="preserve">NAPI surface callable from ArkTS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MEM/BENCH on emulator</w:t>
            </w:r>
          </w:p>
        </w:tc>
        <w:tc>
          <w:tcPr/>
          <w:p>
            <w:pPr>
              <w:pStyle w:val="Compact"/>
            </w:pPr>
            <w:r>
              <w:t xml:space="preserve">RSS ceiling sampled (</w:t>
            </w: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on hardware); throughput benched on emulator</w:t>
            </w:r>
          </w:p>
        </w:tc>
        <w:tc>
          <w:tcPr/>
          <w:p>
            <w:pPr>
              <w:pStyle w:val="Compact"/>
            </w:pPr>
            <w:r>
              <w:t xml:space="preserve">MEM,BENCH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HVPN-P3-211 — Network Kit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VpnExtensionAbility</w:t>
      </w:r>
      <w:r>
        <w:rPr>
          <w:b/>
          <w:bCs/>
        </w:rPr>
        <w:t xml:space="preserve"> </w:t>
      </w:r>
      <w:r>
        <w:rPr>
          <w:b/>
          <w:bCs/>
        </w:rPr>
        <w:t xml:space="preserve">+ lifecycle + kill-switch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§6;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ArkTS ability: VPN consent →</w:t>
            </w:r>
            <w:r>
              <w:t xml:space="preserve"> </w:t>
            </w:r>
            <w:r>
              <w:rPr>
                <w:rStyle w:val="VerbatimChar"/>
              </w:rPr>
              <w:t xml:space="preserve">VpnConnection</w:t>
            </w:r>
            <w:r>
              <w:t xml:space="preserve"> </w:t>
            </w:r>
            <w:r>
              <w:t xml:space="preserve">(tun fd/routes/DNS, MTU 1280) → hand fd to core</w:t>
            </w:r>
          </w:p>
        </w:tc>
        <w:tc>
          <w:tcPr/>
          <w:p>
            <w:pPr>
              <w:pStyle w:val="Compact"/>
            </w:pPr>
            <w:r>
              <w:t xml:space="preserve">ability creates the tunnel fd + drives the core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Drive connect/disconnect/kill-switch/auto-escalate from the core status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enroll→UP→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authorized LAN host on a HarmonyOS NEXT device; window-scoped MP4 + DevEco heap capture; §11.4.3 SKIP</w:t>
            </w:r>
            <w:r>
              <w:t xml:space="preserve"> </w:t>
            </w:r>
            <w:r>
              <w:rPr>
                <w:rStyle w:val="VerbatimChar"/>
              </w:rPr>
              <w:t xml:space="preserve">hardware_not_present</w:t>
            </w:r>
            <w:r>
              <w:t xml:space="preserve"> </w:t>
            </w:r>
            <w:r>
              <w:t xml:space="preserve">until G20 provisions a device</w:t>
            </w:r>
          </w:p>
        </w:tc>
        <w:tc>
          <w:tcPr/>
          <w:p>
            <w:pPr>
              <w:pStyle w:val="Compact"/>
            </w:pPr>
            <w:r>
              <w:t xml:space="preserve">E2E,MEM,UX,REC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.3</w:t>
            </w:r>
          </w:p>
        </w:tc>
        <w:tc>
          <w:tcPr/>
          <w:p>
            <w:pPr>
              <w:pStyle w:val="Compact"/>
            </w:pPr>
            <w:r>
              <w:t xml:space="preserve">Tunnel-drop blanks plaintext (kill-switch per §04)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kill-switch blanks plaintext on drop (device capture)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HVPN-P3-212 — Flutter HAP build (Access + Connector, OHOS channel)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Signed HAPs via</w:t>
            </w:r>
            <w:r>
              <w:t xml:space="preserve"> </w:t>
            </w:r>
            <w:r>
              <w:rPr>
                <w:rStyle w:val="VerbatimChar"/>
              </w:rPr>
              <w:t xml:space="preserve">runHelixApp(flavor,…)</w:t>
            </w:r>
            <w:r>
              <w:t xml:space="preserve"> </w:t>
            </w:r>
            <w:r>
              <w:t xml:space="preserve">on the SIG fork; ArkTS↔Dart MethodChannel wired</w:t>
            </w:r>
          </w:p>
        </w:tc>
        <w:tc>
          <w:tcPr/>
          <w:p>
            <w:pPr>
              <w:pStyle w:val="Compact"/>
            </w:pPr>
            <w:r>
              <w:t xml:space="preserve">app installs + drives the shim; golden UI tests pass on the OHOS theme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UX walkthrough MP4 (</w:t>
            </w:r>
            <w:r>
              <w:rPr>
                <w:rStyle w:val="VerbatimChar"/>
              </w:rPr>
              <w:t xml:space="preserve">PENDING_DEVICE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UX MP4 vision-verified (§11.4.159),</w:t>
            </w:r>
            <w:r>
              <w:t xml:space="preserve"> </w:t>
            </w: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until a device</w:t>
            </w:r>
          </w:p>
        </w:tc>
        <w:tc>
          <w:tcPr/>
          <w:p>
            <w:pPr>
              <w:pStyle w:val="Compact"/>
            </w:pPr>
            <w:r>
              <w:t xml:space="preserve">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HVPN-P3-213 — DevEco signing + market metadata + l10n (zh-Hans first-tier)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§6;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DevEco signing profile + AppGallery metadata +</w:t>
            </w:r>
            <w:r>
              <w:t xml:space="preserve"> </w:t>
            </w:r>
            <w:r>
              <w:rPr>
                <w:rStyle w:val="VerbatimChar"/>
              </w:rPr>
              <w:t xml:space="preserve">intl_zh.arb</w:t>
            </w:r>
            <w:r>
              <w:t xml:space="preserve"> </w:t>
            </w:r>
            <w:r>
              <w:t xml:space="preserve">first-tier locale</w:t>
            </w:r>
          </w:p>
        </w:tc>
        <w:tc>
          <w:tcPr/>
          <w:p>
            <w:pPr>
              <w:pStyle w:val="Compact"/>
            </w:pPr>
            <w:r>
              <w:t xml:space="preserve">signed HAP verifies; zh-Hans strings render with no overflow (UI golden)</w:t>
            </w:r>
          </w:p>
        </w:tc>
        <w:tc>
          <w:tcPr/>
          <w:p>
            <w:pPr>
              <w:pStyle w:val="Compact"/>
            </w:pPr>
            <w:r>
              <w:t xml:space="preserve">FA,UI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HVPN-P3-214 — G21 device certification + honest gap doc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§6;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bank: enroll→UP→reach→kill-switch on device, PASS only on captured evidence (§11.4.27/.107)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 </w:t>
            </w:r>
            <w:r>
              <w:t xml:space="preserve">with device evidence,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outcome=pending_device</w:t>
            </w:r>
            <w:r>
              <w:t xml:space="preserve"> </w:t>
            </w:r>
            <w:r>
              <w:t xml:space="preserve">with the §11.4.148 D3 unblock condition (provision a HarmonyOS NEXT device + add to the §11.4.128 tracked-device set) — never a faked pass</w:t>
            </w:r>
          </w:p>
        </w:tc>
        <w:tc>
          <w:tcPr/>
          <w:p>
            <w:pPr>
              <w:pStyle w:val="Compact"/>
            </w:pPr>
            <w:r>
              <w:t xml:space="preserve">E2E,FA,CHAL,REC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fc57312ac144e8d19a674c2002b0cab1e241a0"/>
    <w:p>
      <w:pPr>
        <w:pStyle w:val="Heading2"/>
      </w:pPr>
      <w:r>
        <w:t xml:space="preserve">3. E22 — Aurora OS build (G22)</w:t>
      </w:r>
    </w:p>
    <w:p>
      <w:pPr>
        <w:pStyle w:val="FirstParagraph"/>
      </w:pPr>
      <w:r>
        <w:rPr>
          <w:i/>
          <w:iCs/>
        </w:rPr>
        <w:t xml:space="preserve">OMP Russia Flutter fork → signed RPM; tunnel backend in Qt/C++ linking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</w:t>
      </w:r>
      <w:r>
        <w:rPr>
          <w:i/>
          <w:iCs/>
        </w:rPr>
        <w:t xml:space="preserve"> </w:t>
      </w:r>
      <w:r>
        <w:rPr>
          <w:i/>
          <w:iCs/>
        </w:rPr>
        <w:t xml:space="preserve">as a C library. Enterprise/government SKU.</w:t>
      </w:r>
    </w:p>
    <w:p>
      <w:pPr>
        <w:pStyle w:val="BodyText"/>
      </w:pPr>
      <w:r>
        <w:rPr>
          <w:b/>
          <w:bCs/>
        </w:rPr>
        <w:t xml:space="preserve">HVPN-P3-220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C ABI for Aurora + cbindgen 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§7;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aarch64</w:t>
            </w:r>
            <w:r>
              <w:t xml:space="preserve">/</w:t>
            </w:r>
            <w:r>
              <w:rPr>
                <w:rStyle w:val="VerbatimChar"/>
              </w:rPr>
              <w:t xml:space="preserve">armv7hl</w:t>
            </w:r>
            <w:r>
              <w:t xml:space="preserve"> </w:t>
            </w:r>
            <w:r>
              <w:t xml:space="preserve">Sailfish target;</w:t>
            </w:r>
            <w:r>
              <w:t xml:space="preserve"> </w:t>
            </w:r>
            <w:r>
              <w:rPr>
                <w:rStyle w:val="VerbatimChar"/>
              </w:rPr>
              <w:t xml:space="preserve">cbindgen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helix.h</w:t>
            </w:r>
            <w:r>
              <w:t xml:space="preserve"> </w:t>
            </w:r>
            <w:r>
              <w:t xml:space="preserve">(no Aurora specifics inside the core, §11.4.28)</w:t>
            </w:r>
          </w:p>
        </w:tc>
        <w:tc>
          <w:tcPr/>
          <w:p>
            <w:pPr>
              <w:pStyle w:val="Compact"/>
            </w:pPr>
            <w:r>
              <w:t xml:space="preserve">header compiles in a Qt test;</w:t>
            </w:r>
            <w:r>
              <w:t xml:space="preserve"> </w:t>
            </w:r>
            <w:r>
              <w:rPr>
                <w:rStyle w:val="VerbatimChar"/>
              </w:rPr>
              <w:t xml:space="preserve">helix_version()</w:t>
            </w:r>
            <w:r>
              <w:t xml:space="preserve"> </w:t>
            </w:r>
            <w:r>
              <w:t xml:space="preserve">round-trips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MEM/BENCH on the Aurora target</w:t>
            </w:r>
          </w:p>
        </w:tc>
        <w:tc>
          <w:tcPr/>
          <w:p>
            <w:pPr>
              <w:pStyle w:val="Compact"/>
            </w:pPr>
            <w:r>
              <w:t xml:space="preserve">RSS sampled (</w:t>
            </w:r>
            <w:r>
              <w:rPr>
                <w:rStyle w:val="VerbatimChar"/>
              </w:rPr>
              <w:t xml:space="preserve">PENDING_DEVICE:</w:t>
            </w:r>
            <w:r>
              <w:t xml:space="preserve">); throughput benched</w:t>
            </w:r>
          </w:p>
        </w:tc>
        <w:tc>
          <w:tcPr/>
          <w:p>
            <w:pPr>
              <w:pStyle w:val="Compact"/>
            </w:pPr>
            <w:r>
              <w:t xml:space="preserve">MEM,BENCH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HVPN-P3-221 — Qt/C++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</w:t>
      </w:r>
      <w:r>
        <w:rPr>
          <w:b/>
          <w:bCs/>
        </w:rPr>
        <w:t xml:space="preserve"> </w:t>
      </w:r>
      <w:r>
        <w:rPr>
          <w:b/>
          <w:bCs/>
        </w:rPr>
        <w:t xml:space="preserve">lifecycle + Friflex Flutter bridge + kill-switch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§7;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Open/route/DNS the Sailfish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helix_start</w:t>
            </w:r>
            <w:r>
              <w:t xml:space="preserve"> </w:t>
            </w:r>
            <w:r>
              <w:t xml:space="preserve">over the C ABI; status marshalled onto the Qt event loop</w:t>
            </w:r>
          </w:p>
        </w:tc>
        <w:tc>
          <w:tcPr/>
          <w:p>
            <w:pPr>
              <w:pStyle w:val="Compact"/>
            </w:pPr>
            <w:r>
              <w:t xml:space="preserve">the backend drives the core; status events surface (INT)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Friflex-style plugin bridge connect/disconnect/status to Flutter + kill-switch/auto-escalate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enroll→UP→reach on an Aurora device; kill-switch blanks plaintext; MP4 + RSS capture; §11.4.3 SKIP until a device</w:t>
            </w:r>
          </w:p>
        </w:tc>
        <w:tc>
          <w:tcPr/>
          <w:p>
            <w:pPr>
              <w:pStyle w:val="Compact"/>
            </w:pPr>
            <w:r>
              <w:t xml:space="preserve">E2E,MEM,UX,REC,CHAL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HVPN-P3-222 — Flutter signed-RPM build (Access + Connector, OMP fork)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Signed Aurora RPMs of the two flavors +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first-tier l10n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rpm -K</w:t>
            </w:r>
            <w:r>
              <w:t xml:space="preserve"> </w:t>
            </w:r>
            <w:r>
              <w:t xml:space="preserve">verifies;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strings render with no overflow; install on the Aurora emulator (</w:t>
            </w: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for hardware reach)</w:t>
            </w:r>
          </w:p>
        </w:tc>
        <w:tc>
          <w:tcPr/>
          <w:p>
            <w:pPr>
              <w:pStyle w:val="Compact"/>
            </w:pPr>
            <w:r>
              <w:t xml:space="preserve">UI,UX,REC,SEC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HVPN-P3-223 — G22 device certification + enterprise-SKU ops doc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§7;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Bank entry enroll→UP→reach→kill-switch on Aurora + ops doc (isolated runner + Mos.Hub signing §11.4.10)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 </w:t>
            </w:r>
            <w:r>
              <w:t xml:space="preserve">with device evidence,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honest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; toolchain-provenance recorded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 </w:t>
            </w:r>
            <w:r>
              <w:t xml:space="preserve">until an Aurora device is in hand (§11.4.6)</w:t>
            </w:r>
          </w:p>
        </w:tc>
        <w:tc>
          <w:tcPr/>
          <w:p>
            <w:pPr>
              <w:pStyle w:val="Compact"/>
            </w:pPr>
            <w:r>
              <w:t xml:space="preserve">E2E,FA,CHAL,REC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86bf6abe423226dd15fab4f23d5611fcfa28e3"/>
    <w:p>
      <w:pPr>
        <w:pStyle w:val="Heading2"/>
      </w:pPr>
      <w:r>
        <w:t xml:space="preserve">4. E23 — WASM browser-scoped MASQUE proxy (G23)</w:t>
      </w:r>
    </w:p>
    <w:p>
      <w:pPr>
        <w:pStyle w:val="FirstParagraph"/>
      </w:pPr>
      <w:r>
        <w:rPr>
          <w:i/>
          <w:iCs/>
        </w:rPr>
        <w:t xml:space="preserve">Browser-scoped proxy of the browser's own traffic — NOT a system-wide tunnel; the reuse pillar: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→ wasm32 over WebTransport.</w:t>
      </w:r>
    </w:p>
    <w:p>
      <w:pPr>
        <w:pStyle w:val="BodyText"/>
      </w:pPr>
      <w:r>
        <w:rPr>
          <w:b/>
          <w:bCs/>
        </w:rPr>
        <w:t xml:space="preserve">HVPN-P3-230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wasm32 build + WebTransport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§8;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Feature-gate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to compile to</w:t>
            </w:r>
            <w:r>
              <w:t xml:space="preserve"> </w:t>
            </w:r>
            <w:r>
              <w:rPr>
                <w:rStyle w:val="VerbatimChar"/>
              </w:rPr>
              <w:t xml:space="preserve">wasm32-unknown-unknown</w:t>
            </w:r>
            <w:r>
              <w:t xml:space="preserve">; bind browser WebTransport for the H3/datagram path (same MASQUE state machine, only the I/O leaf differs)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.wasm</w:t>
            </w:r>
            <w:r>
              <w:t xml:space="preserve"> </w:t>
            </w:r>
            <w:r>
              <w:t xml:space="preserve">loads in headless Chromium; a MASQUE</w:t>
            </w:r>
            <w:r>
              <w:t xml:space="preserve"> </w:t>
            </w:r>
            <w:r>
              <w:rPr>
                <w:rStyle w:val="VerbatimChar"/>
              </w:rPr>
              <w:t xml:space="preserve">CONNECT-UDP</w:t>
            </w:r>
            <w:r>
              <w:t xml:space="preserve"> </w:t>
            </w:r>
            <w:r>
              <w:t xml:space="preserve">session establishes to a test edge</w:t>
            </w:r>
          </w:p>
        </w:tc>
        <w:tc>
          <w:tcPr/>
          <w:p>
            <w:pPr>
              <w:pStyle w:val="Compact"/>
            </w:pPr>
            <w:r>
              <w:t xml:space="preserve">UNIT,INT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Throughput benched</w:t>
            </w:r>
          </w:p>
        </w:tc>
        <w:tc>
          <w:tcPr/>
          <w:p>
            <w:pPr>
              <w:pStyle w:val="Compact"/>
            </w:pPr>
            <w:r>
              <w:t xml:space="preserve">proxy MB/s captured (BENCH)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HVPN-P3-231 — Service-worker / fetch-shim integration + scope isolation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§8;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Service worker routing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explicitly-proxied origins through MASQUE; everything else normal browser networking</w:t>
            </w:r>
          </w:p>
        </w:tc>
        <w:tc>
          <w:tcPr/>
          <w:p>
            <w:pPr>
              <w:pStyle w:val="Compact"/>
            </w:pPr>
            <w:r>
              <w:t xml:space="preserve">a non-proxied origin never touches the gateway (SEC, captured)</w:t>
            </w:r>
          </w:p>
        </w:tc>
        <w:tc>
          <w:tcPr/>
          <w:p>
            <w:pPr>
              <w:pStyle w:val="Compact"/>
            </w:pPr>
            <w:r>
              <w:t xml:space="preserve">UNIT,INT,E2E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Hard scope: only policy-authorized hosts (server-side need-to-know); die on tab/worker close</w:t>
            </w:r>
          </w:p>
        </w:tc>
        <w:tc>
          <w:tcPr/>
          <w:p>
            <w:pPr>
              <w:pStyle w:val="Compact"/>
            </w:pPr>
            <w:r>
              <w:t xml:space="preserve">a non-authorized host is unreachable; tab-close terminates the session, no lingering tunnel (SEC)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HVPN-P3-232 — Console UX: explicit "browser-scoped, not a system VPN" affordance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ShieldIndicator</w:t>
            </w:r>
            <w:r>
              <w:t xml:space="preserve"> </w:t>
            </w:r>
            <w:r>
              <w:t xml:space="preserve">variant + copy stating the limitation plainly; per-network toggle; live reachability</w:t>
            </w:r>
          </w:p>
        </w:tc>
        <w:tc>
          <w:tcPr/>
          <w:p>
            <w:pPr>
              <w:pStyle w:val="Compact"/>
            </w:pPr>
            <w:r>
              <w:t xml:space="preserve">UX MP4 vision-verified that the scope wording is present + unambiguous (§11.4.159) — guards an over-claim bluff</w:t>
            </w:r>
          </w:p>
        </w:tc>
        <w:tc>
          <w:tcPr/>
          <w:p>
            <w:pPr>
              <w:pStyle w:val="Compact"/>
            </w:pPr>
            <w:r>
              <w:t xml:space="preserve">UI,UX,REC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HVPN-P3-233 — G23 certification + threat note (WASM origin model)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§8;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Bank: browser reaches an authorized host, denied an unauthorized one, leaks nothing beyond scope; threat note (short-lived token, no WG private key in browser)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 </w:t>
            </w:r>
            <w:r>
              <w:t xml:space="preserve">with captured evidence; the "no key in browser" invariant proven by a SEC assertion</w:t>
            </w:r>
          </w:p>
        </w:tc>
        <w:tc>
          <w:tcPr/>
          <w:p>
            <w:pPr>
              <w:pStyle w:val="Compact"/>
            </w:pPr>
            <w:r>
              <w:t xml:space="preserve">E2E,SEC,CHAL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4ba539f20440f8c48d40af440b915e654028f21"/>
    <w:p>
      <w:pPr>
        <w:pStyle w:val="Heading2"/>
      </w:pPr>
      <w:r>
        <w:t xml:space="preserve">5. E24 — Billing-optional multi-tenant (G24)</w:t>
      </w:r>
    </w:p>
    <w:p>
      <w:pPr>
        <w:pStyle w:val="FirstParagraph"/>
      </w:pPr>
      <w:r>
        <w:rPr>
          <w:i/>
          <w:iCs/>
        </w:rPr>
        <w:t xml:space="preserve">Billing must not break no-logging — metering is aggregate counters only; billing OFF by default = zero behaviour change.</w:t>
      </w:r>
    </w:p>
    <w:p>
      <w:pPr>
        <w:pStyle w:val="BodyText"/>
      </w:pPr>
      <w:r>
        <w:rPr>
          <w:b/>
          <w:bCs/>
        </w:rPr>
        <w:t xml:space="preserve">HVPN-P3-240 — Billing schema (plans/subs/entitlements/aggregate meters, RLS + no-log lint)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§9;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FORCE-RLS tenant-scoped billing tables;</w:t>
            </w:r>
            <w:r>
              <w:t xml:space="preserve"> </w:t>
            </w:r>
            <w:r>
              <w:rPr>
                <w:rStyle w:val="VerbatimChar"/>
              </w:rPr>
              <w:t xml:space="preserve">usage_counter</w:t>
            </w:r>
            <w:r>
              <w:t xml:space="preserve"> </w:t>
            </w:r>
            <w:r>
              <w:t xml:space="preserve">daily-aggregate only (no src/dst/host/port/flow, no sub-day ts)</w:t>
            </w:r>
          </w:p>
        </w:tc>
        <w:tc>
          <w:tcPr/>
          <w:p>
            <w:pPr>
              <w:pStyle w:val="Compact"/>
            </w:pPr>
            <w:r>
              <w:t xml:space="preserve">cross-tenant read denied (RLS); aggregate schema passes the lint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Extend the no-log CI lint to reject a billing column matching the traffic-log shape + paired §1.1 mutation</w:t>
            </w:r>
          </w:p>
        </w:tc>
        <w:tc>
          <w:tcPr/>
          <w:p>
            <w:pPr>
              <w:pStyle w:val="Compact"/>
            </w:pPr>
            <w:r>
              <w:t xml:space="preserve">the lint FAILs a planted</w:t>
            </w:r>
            <w:r>
              <w:t xml:space="preserve"> </w:t>
            </w:r>
            <w:r>
              <w:rPr>
                <w:rStyle w:val="VerbatimChar"/>
              </w:rPr>
              <w:t xml:space="preserve">usage_flows(src,dst,port,ts)</w:t>
            </w:r>
            <w:r>
              <w:t xml:space="preserve"> </w:t>
            </w:r>
            <w:r>
              <w:t xml:space="preserve">table, passes the aggregate schema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HVPN-P3-241 — Aggregate metering pipeline (edge counters → daily upsert)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Metering consumer folds edge rx/tx counters into</w:t>
            </w:r>
            <w:r>
              <w:t xml:space="preserve"> </w:t>
            </w:r>
            <w:r>
              <w:rPr>
                <w:rStyle w:val="VerbatimChar"/>
              </w:rPr>
              <w:t xml:space="preserve">usage_counter</w:t>
            </w:r>
            <w:r>
              <w:t xml:space="preserve"> </w:t>
            </w:r>
            <w:r>
              <w:t xml:space="preserve">daily upserts (idempotent by tenant/device/day)</w:t>
            </w:r>
          </w:p>
        </w:tc>
        <w:tc>
          <w:tcPr/>
          <w:p>
            <w:pPr>
              <w:pStyle w:val="Compact"/>
            </w:pPr>
            <w:r>
              <w:t xml:space="preserve">exactly-once bucket under a SIGKILL mid-fold (CHAOS)</w:t>
            </w:r>
          </w:p>
        </w:tc>
        <w:tc>
          <w:tcPr/>
          <w:p>
            <w:pPr>
              <w:pStyle w:val="Compact"/>
            </w:pPr>
            <w:r>
              <w:t xml:space="preserve">UNIT,INT,CHAOS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Bounded-memory at scale</w:t>
            </w:r>
          </w:p>
        </w:tc>
        <w:tc>
          <w:tcPr/>
          <w:p>
            <w:pPr>
              <w:pStyle w:val="Compact"/>
            </w:pPr>
            <w:r>
              <w:t xml:space="preserve">10k devices, bounded memory (STRESS)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HVPN-P3-242 — Entitlement enforcement in the coordinator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Plan limits → admission checks at enroll + map build; over-quota = deny with reason (D-P3-2 fail-open)</w:t>
            </w:r>
          </w:p>
        </w:tc>
        <w:tc>
          <w:tcPr/>
          <w:p>
            <w:pPr>
              <w:pStyle w:val="Compact"/>
            </w:pPr>
            <w:r>
              <w:t xml:space="preserve">an over-device-quota enroll is denied with a clear reason; bytes-quota breach degrades per the chosen policy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PERF: check adds &lt; 1 ms to map build</w:t>
            </w:r>
          </w:p>
        </w:tc>
        <w:tc>
          <w:tcPr/>
          <w:p>
            <w:pPr>
              <w:pStyle w:val="Compact"/>
            </w:pPr>
            <w:r>
              <w:t xml:space="preserve">captured map-build delta &lt; 1 ms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HVPN-P3-243 — Optional payment-provider adapter (interface + one reference impl, flagged)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§9;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Narrow</w:t>
            </w:r>
            <w:r>
              <w:t xml:space="preserve"> </w:t>
            </w:r>
            <w:r>
              <w:rPr>
                <w:rStyle w:val="VerbatimChar"/>
              </w:rPr>
              <w:t xml:space="preserve">PaymentProvider</w:t>
            </w:r>
            <w:r>
              <w:t xml:space="preserve"> </w:t>
            </w:r>
            <w:r>
              <w:t xml:space="preserve">interface + one reference adapter (provider behind a flag, no name in core §11.4.28)</w:t>
            </w:r>
          </w:p>
        </w:tc>
        <w:tc>
          <w:tcPr/>
          <w:p>
            <w:pPr>
              <w:pStyle w:val="Compact"/>
            </w:pPr>
            <w:r>
              <w:t xml:space="preserve">billing-OFF path never calls the adapter (captured)</w:t>
            </w:r>
          </w:p>
        </w:tc>
        <w:tc>
          <w:tcPr/>
          <w:p>
            <w:pPr>
              <w:pStyle w:val="Compact"/>
            </w:pPr>
            <w:r>
              <w:t xml:space="preserve">UNIT,INT,SEC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Public webhook: signature-verify + replay-reject + rate-limit (first public surface → DDOS applicable)</w:t>
            </w:r>
          </w:p>
        </w:tc>
        <w:tc>
          <w:tcPr/>
          <w:p>
            <w:pPr>
              <w:pStyle w:val="Compact"/>
            </w:pPr>
            <w:r>
              <w:t xml:space="preserve">webhook signature verified; replay rejected; rate-limit holds under flood (DDOS)</w:t>
            </w:r>
          </w:p>
        </w:tc>
        <w:tc>
          <w:tcPr/>
          <w:p>
            <w:pPr>
              <w:pStyle w:val="Compact"/>
            </w:pPr>
            <w:r>
              <w:t xml:space="preserve">DDOS,SEC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HVPN-P3-244 — G24 certification (billing ON works, OFF is a perfect no-op, no-log preserved)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§9;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Bank: (a) billing-ON meter+quota+payment flow; (b) billing-OFF byte-identical to pre-E24 (§11.4.108 runtime-signature diff); (c) no-log lint still green + planted traffic-log still FAILs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; the no-op proof captured as a §11.4.135 regression guard</w:t>
            </w:r>
          </w:p>
        </w:tc>
        <w:tc>
          <w:tcPr/>
          <w:p>
            <w:pPr>
              <w:pStyle w:val="Compact"/>
            </w:pPr>
            <w:r>
              <w:t xml:space="preserve">E2E,SEC,FA,CHAL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dea226b08304d4d2c29ba6f9fb471a2b374f945"/>
    <w:p>
      <w:pPr>
        <w:pStyle w:val="Heading2"/>
      </w:pPr>
      <w:r>
        <w:t xml:space="preserve">6. E25 — Third-party security audit (G25)</w:t>
      </w:r>
    </w:p>
    <w:p>
      <w:pPr>
        <w:pStyle w:val="FirstParagraph"/>
      </w:pPr>
      <w:r>
        <w:rPr>
          <w:i/>
          <w:iCs/>
        </w:rPr>
        <w:t xml:space="preserve">A self-audit is not an audit; the verdict is the external party's. Engagement is operator-gated (spend → §11.4.101/.66).</w:t>
      </w:r>
    </w:p>
    <w:p>
      <w:pPr>
        <w:pStyle w:val="BodyText"/>
      </w:pPr>
      <w:r>
        <w:rPr>
          <w:b/>
          <w:bCs/>
        </w:rPr>
        <w:t xml:space="preserve">HVPN-P3-250 — Audit scope, threat model, asset inventory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§10;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STRIDE per surface (crypto core, control plane, the four reach surfaces, no-log invariant)</w:t>
            </w:r>
          </w:p>
        </w:tc>
        <w:tc>
          <w:tcPr/>
          <w:p>
            <w:pPr>
              <w:pStyle w:val="Compact"/>
            </w:pPr>
            <w:r>
              <w:t xml:space="preserve">every shipped surface mapped to ≥1 threat + ≥1 audit objective; no surface unlisted (§11.4.118)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HVPN-P3-251 — SBOM + reproducible-source snapshot for the auditor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§10;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CycloneDX SBOM per artefact + a pinned rebuildable source snapshot</w:t>
            </w:r>
          </w:p>
        </w:tc>
        <w:tc>
          <w:tcPr/>
          <w:p>
            <w:pPr>
              <w:pStyle w:val="Compact"/>
            </w:pPr>
            <w:r>
              <w:t xml:space="preserve">SBOM covers 100% of shipped deps; snapshot SHA recorded;</w:t>
            </w:r>
            <w:r>
              <w:t xml:space="preserve"> </w:t>
            </w:r>
            <w:r>
              <w:rPr>
                <w:rStyle w:val="VerbatimChar"/>
              </w:rPr>
              <w:t xml:space="preserve">endor</w:t>
            </w:r>
            <w:r>
              <w:t xml:space="preserve">/</w:t>
            </w:r>
            <w:r>
              <w:rPr>
                <w:rStyle w:val="VerbatimChar"/>
              </w:rPr>
              <w:t xml:space="preserve">aikido</w:t>
            </w:r>
            <w:r>
              <w:t xml:space="preserve">-class scan green or every finding triaged</w:t>
            </w:r>
          </w:p>
        </w:tc>
        <w:tc>
          <w:tcPr/>
          <w:p>
            <w:pPr>
              <w:pStyle w:val="Compact"/>
            </w:pPr>
            <w:r>
              <w:t xml:space="preserve">SEC,REPRO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HVPN-P3-252 — Engage auditor + run the engagement (operator-gated)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§10;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Select + contract an independent firm (operator decision, §11.4.66</w:t>
            </w:r>
            <w:r>
              <w:t xml:space="preserve"> </w:t>
            </w:r>
            <w:r>
              <w:rPr>
                <w:rStyle w:val="VerbatimChar"/>
              </w:rPr>
              <w:t xml:space="preserve">AskUserQuestion</w:t>
            </w:r>
            <w:r>
              <w:t xml:space="preserve">), share scope+snapshot, receive the report</w:t>
            </w:r>
          </w:p>
        </w:tc>
        <w:tc>
          <w:tcPr/>
          <w:p>
            <w:pPr>
              <w:pStyle w:val="Compact"/>
            </w:pPr>
            <w:r>
              <w:t xml:space="preserve">report received; status</w:t>
            </w:r>
            <w:r>
              <w:t xml:space="preserve"> </w:t>
            </w:r>
            <w:r>
              <w:rPr>
                <w:rStyle w:val="VerbatimChar"/>
              </w:rPr>
              <w:t xml:space="preserve">Operator-blocked</w:t>
            </w:r>
            <w:r>
              <w:t xml:space="preserve"> </w:t>
            </w:r>
            <w:r>
              <w:t xml:space="preserve">with the §11.4.21 unblock detail until the engagement is funded — honest, not faked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HVPN-P3-253 — Remediation loop to zero Critical/High (§11.4.134/.146)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§10; 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Per finding: §11.4.102 root cause → §11.4.115 RED-on-vulnerable → fix → §11.4.146 extend → permanent §11.4.135 guard</w:t>
            </w:r>
          </w:p>
        </w:tc>
        <w:tc>
          <w:tcPr/>
          <w:p>
            <w:pPr>
              <w:pStyle w:val="Compact"/>
            </w:pPr>
            <w:r>
              <w:t xml:space="preserve">zero unresolved Critical/High; each closure carries a falsifiable regression test (no console-mark-is-fixed bluff)</w:t>
            </w:r>
          </w:p>
        </w:tc>
        <w:tc>
          <w:tcPr/>
          <w:p>
            <w:pPr>
              <w:pStyle w:val="Compact"/>
            </w:pPr>
            <w:r>
              <w:t xml:space="preserve">UNIT,INT,SEC,CHAL,REC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Re-audit fixed items until the firm signs off (§11.4.134 iterate-to-GO)</w:t>
            </w:r>
          </w:p>
        </w:tc>
        <w:tc>
          <w:tcPr/>
          <w:p>
            <w:pPr>
              <w:pStyle w:val="Compact"/>
            </w:pPr>
            <w:r>
              <w:t xml:space="preserve">the firm signs off after re-audit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HVPN-P3-254 — G25 certification + public disclosure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§10;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Publish the report + remediation summary; gate verdict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 </w:t>
            </w:r>
            <w:r>
              <w:t xml:space="preserve">only when Critical/High = 0 + report published; else honest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/</w:t>
            </w:r>
            <w:r>
              <w:rPr>
                <w:rStyle w:val="VerbatimChar"/>
              </w:rPr>
              <w:t xml:space="preserve">operator_blocked</w:t>
            </w:r>
            <w:r>
              <w:t xml:space="preserve"> </w:t>
            </w:r>
            <w:r>
              <w:t xml:space="preserve">with the open-finding list</w:t>
            </w:r>
          </w:p>
        </w:tc>
        <w:tc>
          <w:tcPr/>
          <w:p>
            <w:pPr>
              <w:pStyle w:val="Compact"/>
            </w:pPr>
            <w:r>
              <w:t xml:space="preserve">SEC,CHAL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a7965cb711b7ea18a4d89c17bde1f209d37bf5"/>
    <w:p>
      <w:pPr>
        <w:pStyle w:val="Heading2"/>
      </w:pPr>
      <w:r>
        <w:t xml:space="preserve">7. E26 — Reproducible builds (G26)</w:t>
      </w:r>
    </w:p>
    <w:p>
      <w:pPr>
        <w:pStyle w:val="FirstParagraph"/>
      </w:pPr>
      <w:r>
        <w:rPr>
          <w:i/>
          <w:iCs/>
        </w:rPr>
        <w:t xml:space="preserve">Table stakes for a privacy product: a user must verify the binaries match the source.</w:t>
      </w:r>
    </w:p>
    <w:p>
      <w:pPr>
        <w:pStyle w:val="BodyText"/>
      </w:pPr>
      <w:r>
        <w:rPr>
          <w:b/>
          <w:bCs/>
        </w:rPr>
        <w:t xml:space="preserve">HVPN-P3-260 — Determinize Go + Rust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Pin toolchains,</w:t>
            </w:r>
            <w:r>
              <w:t xml:space="preserve"> </w:t>
            </w:r>
            <w:r>
              <w:rPr>
                <w:rStyle w:val="VerbatimChar"/>
              </w:rPr>
              <w:t xml:space="preserve">-trimpath</w:t>
            </w:r>
            <w:r>
              <w:t xml:space="preserve">/</w:t>
            </w:r>
            <w:r>
              <w:rPr>
                <w:rStyle w:val="VerbatimChar"/>
              </w:rPr>
              <w:t xml:space="preserve">--remap-path-prefix</w:t>
            </w:r>
            <w:r>
              <w:t xml:space="preserve">, fix</w:t>
            </w:r>
            <w:r>
              <w:t xml:space="preserve"> </w:t>
            </w:r>
            <w:r>
              <w:rPr>
                <w:rStyle w:val="VerbatimChar"/>
              </w:rPr>
              <w:t xml:space="preserve">SOURCE_DATE_EPOCH</w:t>
            </w:r>
            <w:r>
              <w:t xml:space="preserve">, strip non-determinism, build in a pinned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two clean rebuilds of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  <w:r>
              <w:t xml:space="preserve">+</w:t>
            </w:r>
            <w:r>
              <w:rPr>
                <w:rStyle w:val="VerbatimChar"/>
              </w:rPr>
              <w:t xml:space="preserve">helix-edge</w:t>
            </w:r>
            <w:r>
              <w:t xml:space="preserve">+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on two hosts → identical SHA-256 (REPRO)</w:t>
            </w:r>
          </w:p>
        </w:tc>
        <w:tc>
          <w:tcPr/>
          <w:p>
            <w:pPr>
              <w:pStyle w:val="Compact"/>
            </w:pPr>
            <w:r>
              <w:t xml:space="preserve">REPRO,FA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HVPN-P3-261 — Determinize the Flutter app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Reproducible Flutter AOT (iOS/Android/desktop/web) + fork HAP/RPM; deterministic asset + ARB ordering</w:t>
            </w:r>
          </w:p>
        </w:tc>
        <w:tc>
          <w:tcPr/>
          <w:p>
            <w:pPr>
              <w:pStyle w:val="Compact"/>
            </w:pPr>
            <w:r>
              <w:t xml:space="preserve">two rebuilds of each flavor → identical artefact (signature stripped before compare); divergences root-caused (§11.4.102) to zero</w:t>
            </w:r>
          </w:p>
        </w:tc>
        <w:tc>
          <w:tcPr/>
          <w:p>
            <w:pPr>
              <w:pStyle w:val="Compact"/>
            </w:pPr>
            <w:r>
              <w:t xml:space="preserve">REPRO,FA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.2</w:t>
            </w:r>
          </w:p>
        </w:tc>
        <w:tc>
          <w:tcPr/>
          <w:p>
            <w:pPr>
              <w:pStyle w:val="Compact"/>
            </w:pPr>
            <w:r>
              <w:t xml:space="preserve">Honest boundary: signed installers differ by signature → compare the unsigned payload digest</w:t>
            </w:r>
          </w:p>
        </w:tc>
        <w:tc>
          <w:tcPr/>
          <w:p>
            <w:pPr>
              <w:pStyle w:val="Compact"/>
            </w:pPr>
            <w:r>
              <w:t xml:space="preserve">the honest boundary recorded (§11.4.6); unsigned-payload digests identical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HVPN-P3-262 — WASM + native-shim reproducibility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Pin OHOS/Aurora cross-toolchains; rebuild</w:t>
            </w:r>
            <w:r>
              <w:t xml:space="preserve"> </w:t>
            </w:r>
            <w:r>
              <w:rPr>
                <w:rStyle w:val="VerbatimChar"/>
              </w:rPr>
              <w:t xml:space="preserve">.wasm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libhelix_ohos.so</w:t>
            </w:r>
            <w:r>
              <w:t xml:space="preserve"> </w:t>
            </w:r>
            <w:r>
              <w:t xml:space="preserve">+ Aurora</w:t>
            </w:r>
            <w:r>
              <w:t xml:space="preserve"> </w:t>
            </w:r>
            <w:r>
              <w:rPr>
                <w:rStyle w:val="VerbatimChar"/>
              </w:rPr>
              <w:t xml:space="preserve">libhelix.a</w:t>
            </w:r>
          </w:p>
        </w:tc>
        <w:tc>
          <w:tcPr/>
          <w:p>
            <w:pPr>
              <w:pStyle w:val="Compact"/>
            </w:pPr>
            <w:r>
              <w:t xml:space="preserve">two rebuilds → identical SHA-256,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PENDING_TOOLCHAIN:</w:t>
            </w:r>
            <w:r>
              <w:t xml:space="preserve"> </w:t>
            </w:r>
            <w:r>
              <w:t xml:space="preserve">honestly where a fork toolchain is not yet deterministic (a finding, not a pass)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HVPN-P3-263 — Public verification script + transparency doc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verify-reproducible.sh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reproducible_builds.md</w:t>
            </w:r>
            <w:r>
              <w:t xml:space="preserve"> </w:t>
            </w:r>
            <w:r>
              <w:t xml:space="preserve">(model + honest signature exceptions)</w:t>
            </w:r>
          </w:p>
        </w:tc>
        <w:tc>
          <w:tcPr/>
          <w:p>
            <w:pPr>
              <w:pStyle w:val="Compact"/>
            </w:pPr>
            <w:r>
              <w:t xml:space="preserve">a third party (the §11.4.165 independent verifier) runs it + confirms identity on every non-signature artefact (captured)</w:t>
            </w:r>
          </w:p>
        </w:tc>
        <w:tc>
          <w:tcPr/>
          <w:p>
            <w:pPr>
              <w:pStyle w:val="Compact"/>
            </w:pPr>
            <w:r>
              <w:t xml:space="preserve">REPRO,FA,CHAL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HVPN-P3-264 — G26 certification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§11; XS)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Gate verdict over the full artefact matrix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outcome=pass</w:t>
            </w:r>
            <w:r>
              <w:t xml:space="preserve"> </w:t>
            </w:r>
            <w:r>
              <w:t xml:space="preserve">only when every non-signature artefact reproduces bit-identically on two independent hosts; any</w:t>
            </w:r>
            <w:r>
              <w:t xml:space="preserve"> </w:t>
            </w:r>
            <w:r>
              <w:rPr>
                <w:rStyle w:val="VerbatimChar"/>
              </w:rPr>
              <w:t xml:space="preserve">PENDING_TOOLCHAIN</w:t>
            </w:r>
            <w:r>
              <w:t xml:space="preserve"> </w:t>
            </w:r>
            <w:r>
              <w:t xml:space="preserve">keeps the gate honestly open</w:t>
            </w:r>
          </w:p>
        </w:tc>
        <w:tc>
          <w:tcPr/>
          <w:p>
            <w:pPr>
              <w:pStyle w:val="Compact"/>
            </w:pPr>
            <w:r>
              <w:t xml:space="preserve">REPRO,FA,CHAL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94f678a00aa256c16c797068b73d53ca59f09df"/>
    <w:p>
      <w:pPr>
        <w:pStyle w:val="Heading2"/>
      </w:pPr>
      <w:r>
        <w:t xml:space="preserve">8. E27 — Reach l10n, governance, release</w:t>
      </w:r>
    </w:p>
    <w:p>
      <w:pPr>
        <w:pStyle w:val="FirstParagraph"/>
      </w:pPr>
      <w:r>
        <w:rPr>
          <w:b/>
          <w:bCs/>
        </w:rPr>
        <w:t xml:space="preserve">HVPN-P3-270 — First-tier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zh-Hans</w:t>
      </w:r>
      <w:r>
        <w:rPr>
          <w:b/>
          <w:bCs/>
        </w:rPr>
        <w:t xml:space="preserve"> </w:t>
      </w:r>
      <w:r>
        <w:rPr>
          <w:b/>
          <w:bCs/>
        </w:rPr>
        <w:t xml:space="preserve">l10n completeness + overflow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§12;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helix_l10n</w:t>
            </w:r>
            <w:r>
              <w:t xml:space="preserve"> </w:t>
            </w:r>
            <w:r>
              <w:t xml:space="preserve">ARBs for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/</w:t>
            </w:r>
            <w:r>
              <w:rPr>
                <w:rStyle w:val="VerbatimChar"/>
              </w:rPr>
              <w:t xml:space="preserve">zh-Hans</w:t>
            </w:r>
            <w:r>
              <w:t xml:space="preserve">; no overflow/overlap (§11.4.162); state announced not just colored (a11y, §04)</w:t>
            </w:r>
          </w:p>
        </w:tc>
        <w:tc>
          <w:tcPr/>
          <w:p>
            <w:pPr>
              <w:pStyle w:val="Compact"/>
            </w:pPr>
            <w:r>
              <w:t xml:space="preserve">golden UI green in both locales on Access/Connector/Console; UX MP4 vision-verified</w:t>
            </w:r>
          </w:p>
        </w:tc>
        <w:tc>
          <w:tcPr/>
          <w:p>
            <w:pPr>
              <w:pStyle w:val="Compact"/>
            </w:pPr>
            <w:r>
              <w:t xml:space="preserve">UI,UX,REC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HVPN-P3-271 — Phase-3 feature Status + Status_Summary set (§11.4.153) with per-surface video confirmation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§12;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docs/features/Status.md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Status_Summary.md</w:t>
            </w:r>
            <w:r>
              <w:t xml:space="preserve"> </w:t>
            </w:r>
            <w:r>
              <w:t xml:space="preserve">enumerating every Phase-3 surface (Implementation/Wiring/Validation/Video-confirmation), four-format export (HTML+PDF+DOCX), docs-chain-synced</w:t>
            </w:r>
          </w:p>
        </w:tc>
        <w:tc>
          <w:tcPr/>
          <w:p>
            <w:pPr>
              <w:pStyle w:val="Compact"/>
            </w:pPr>
            <w:r>
              <w:t xml:space="preserve">every confirmed row has a real-use MP4 (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rows honestly marked); §11.4.86 fingerprint matches</w:t>
            </w:r>
          </w:p>
        </w:tc>
        <w:tc>
          <w:tcPr/>
          <w:p>
            <w:pPr>
              <w:pStyle w:val="Compact"/>
            </w:pPr>
            <w:r>
              <w:t xml:space="preserve">REC,CHAL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HVPN-P3-272 — docs-chain sync + items-DB load + reproducible-release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§12;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.1</w:t>
            </w:r>
          </w:p>
        </w:tc>
        <w:tc>
          <w:tcPr/>
          <w:p>
            <w:pPr>
              <w:pStyle w:val="Compact"/>
            </w:pPr>
            <w:r>
              <w:t xml:space="preserve">Load all</w:t>
            </w:r>
            <w:r>
              <w:t xml:space="preserve"> </w:t>
            </w:r>
            <w:r>
              <w:rPr>
                <w:rStyle w:val="VerbatimChar"/>
              </w:rPr>
              <w:t xml:space="preserve">HVPN-P3-*</w:t>
            </w:r>
            <w:r>
              <w:t xml:space="preserve"> </w:t>
            </w:r>
            <w:r>
              <w:t xml:space="preserve">rows into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(§11.4.93/.95), sync exports (§11.4.65), cut</w:t>
            </w:r>
            <w:r>
              <w:t xml:space="preserve"> </w:t>
            </w:r>
            <w:r>
              <w:rPr>
                <w:rStyle w:val="VerbatimChar"/>
              </w:rPr>
              <w:t xml:space="preserve">&lt;prefix&gt;-3.0.0-…</w:t>
            </w:r>
            <w:r>
              <w:t xml:space="preserve"> </w:t>
            </w:r>
            <w:r>
              <w:t xml:space="preserve">(§11.4.151) + fan out via merge-onto-latest-main (§11.4.113, never force-push)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workable-items validate</w:t>
            </w:r>
            <w:r>
              <w:t xml:space="preserve"> </w:t>
            </w:r>
            <w:r>
              <w:t xml:space="preserve">green; tag prefix correct across main + every owned submodule; artefacts reproduce (E26)</w:t>
            </w:r>
          </w:p>
        </w:tc>
        <w:tc>
          <w:tcPr/>
          <w:p>
            <w:pPr>
              <w:pStyle w:val="Compact"/>
            </w:pPr>
            <w:r>
              <w:t xml:space="preserve">FA,REPRO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63bd8f3c61ba31ce9a4b8a10265db774f95f1ff"/>
    <w:p>
      <w:pPr>
        <w:pStyle w:val="Heading2"/>
      </w:pPr>
      <w:r>
        <w:t xml:space="preserve">9. Subtask roll-up + honest-gap ledger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Parent tasks</w:t>
            </w:r>
          </w:p>
        </w:tc>
        <w:tc>
          <w:tcPr/>
          <w:p>
            <w:pPr>
              <w:pStyle w:val="Compact"/>
            </w:pPr>
            <w:r>
              <w:t xml:space="preserve">Deepened subtasks</w:t>
            </w:r>
          </w:p>
        </w:tc>
        <w:tc>
          <w:tcPr/>
          <w:p>
            <w:pPr>
              <w:pStyle w:val="Compact"/>
            </w:pPr>
            <w:r>
              <w:t xml:space="preserve">Honest-gap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 reach CI fabric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toolchain access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 HarmonyOS NEXT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PENDING_DEVICE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make-or-break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 Aurora 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PENDING_DEVICE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Russian toolchain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 WASM proxy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browser API maturity (medium)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 billing-optional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no-log invariant must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E25 third-party audit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Operator-blocked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external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E26 reproducible builds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fork-toolchain</w:t>
            </w:r>
            <w:r>
              <w:t xml:space="preserve"> </w:t>
            </w:r>
            <w:r>
              <w:rPr>
                <w:rStyle w:val="VerbatimChar"/>
              </w:rPr>
              <w:t xml:space="preserve">PENDING_TOOLCHAIN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E27 reach l10n/release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Honest-gap ledger (§11.4.6,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09-…</w:t>
      </w:r>
      <w:r>
        <w:rPr>
          <w:b/>
          <w:bCs/>
        </w:rPr>
        <w:t xml:space="preserve"> </w:t>
      </w:r>
      <w:r>
        <w:rPr>
          <w:b/>
          <w:bCs/>
        </w:rPr>
        <w:t xml:space="preserve">§13/§14 risk register).</w:t>
      </w:r>
      <w:r>
        <w:t xml:space="preserve"> </w:t>
      </w:r>
      <w:r>
        <w:t xml:space="preserve">Phase 3 is the</w:t>
      </w:r>
      <w:r>
        <w:t xml:space="preserve"> </w:t>
      </w:r>
      <w:r>
        <w:t xml:space="preserve">phase where some acceptances cannot be self-proven; the deepening preserves that</w:t>
      </w:r>
      <w:r>
        <w:t xml:space="preserve"> </w:t>
      </w:r>
      <w:r>
        <w:t xml:space="preserve">honesty in the subtask acceptances rather than hiding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Honest marker</w:t>
            </w:r>
          </w:p>
        </w:tc>
        <w:tc>
          <w:tcPr/>
          <w:p>
            <w:pPr>
              <w:pStyle w:val="Compact"/>
            </w:pPr>
            <w:r>
              <w:t xml:space="preserve">Unblock (§11.4.148 D3)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211.2/.3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214.1</w:t>
            </w:r>
            <w:r>
              <w:t xml:space="preserve"> </w:t>
            </w:r>
            <w:r>
              <w:t xml:space="preserve">HarmonyOS device reach</w:t>
            </w:r>
          </w:p>
        </w:tc>
        <w:tc>
          <w:tcPr/>
          <w:p>
            <w:pPr>
              <w:pStyle w:val="Compact"/>
            </w:pPr>
            <w:r>
              <w:t xml:space="preserve">no HarmonyOS NEXT device/CI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/ gate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</w:p>
        </w:tc>
        <w:tc>
          <w:tcPr/>
          <w:p>
            <w:pPr>
              <w:pStyle w:val="Compact"/>
            </w:pPr>
            <w:r>
              <w:t xml:space="preserve">provision a device + add to the §11.4.128 tracked set (via G20)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221.2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223.1</w:t>
            </w:r>
            <w:r>
              <w:t xml:space="preserve"> </w:t>
            </w:r>
            <w:r>
              <w:t xml:space="preserve">Aurora device reach</w:t>
            </w:r>
          </w:p>
        </w:tc>
        <w:tc>
          <w:tcPr/>
          <w:p>
            <w:pPr>
              <w:pStyle w:val="Compact"/>
            </w:pPr>
            <w:r>
              <w:t xml:space="preserve">no Aurora device + Russian toolchain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 </w:t>
            </w: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provision an Aurora device; mirror-pin + audit the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252.1</w:t>
            </w:r>
            <w:r>
              <w:t xml:space="preserve"> </w:t>
            </w:r>
            <w:r>
              <w:t xml:space="preserve">audit engagement</w:t>
            </w:r>
          </w:p>
        </w:tc>
        <w:tc>
          <w:tcPr/>
          <w:p>
            <w:pPr>
              <w:pStyle w:val="Compact"/>
            </w:pPr>
            <w:r>
              <w:t xml:space="preserve">external spend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Operator-blocked</w:t>
            </w:r>
            <w:r>
              <w:t xml:space="preserve"> </w:t>
            </w:r>
            <w:r>
              <w:t xml:space="preserve">(§11.4.101/.66)</w:t>
            </w:r>
          </w:p>
        </w:tc>
        <w:tc>
          <w:tcPr/>
          <w:p>
            <w:pPr>
              <w:pStyle w:val="Compact"/>
            </w:pPr>
            <w:r>
              <w:t xml:space="preserve">fund + contract an independent audit 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262.1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264.1</w:t>
            </w:r>
            <w:r>
              <w:t xml:space="preserve"> </w:t>
            </w:r>
            <w:r>
              <w:t xml:space="preserve">fork-toolchain reproducibility</w:t>
            </w:r>
          </w:p>
        </w:tc>
        <w:tc>
          <w:tcPr/>
          <w:p>
            <w:pPr>
              <w:pStyle w:val="Compact"/>
            </w:pPr>
            <w:r>
              <w:t xml:space="preserve">fork toolchain not yet deterministic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PENDING_TOOLCHAIN:</w:t>
            </w:r>
            <w:r>
              <w:t xml:space="preserve"> </w:t>
            </w:r>
            <w:r>
              <w:t xml:space="preserve">keeps G26 honestly open</w:t>
            </w:r>
          </w:p>
        </w:tc>
        <w:tc>
          <w:tcPr/>
          <w:p>
            <w:pPr>
              <w:pStyle w:val="Compact"/>
            </w:pPr>
            <w:r>
              <w:t xml:space="preserve">root-cause the fork non-determinism to zero</w:t>
            </w:r>
          </w:p>
        </w:tc>
      </w:tr>
    </w:tbl>
    <w:p>
      <w:pPr>
        <w:pStyle w:val="BodyText"/>
      </w:pPr>
      <w:r>
        <w:t xml:space="preserve">None of these may be 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 metadata/config-only evidence 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§13).</w:t>
      </w:r>
      <w:r>
        <w:t xml:space="preserve"> </w:t>
      </w:r>
      <w:r>
        <w:t xml:space="preserve">A device-/engagement-gated gate that cannot be proven is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with its unblock condition — the release notes state plainly</w:t>
      </w:r>
      <w:r>
        <w:t xml:space="preserve"> </w:t>
      </w:r>
      <w:r>
        <w:t xml:space="preserve">which reach targets are</w:t>
      </w:r>
      <w:r>
        <w:t xml:space="preserve"> </w:t>
      </w:r>
      <w:r>
        <w:rPr>
          <w:i/>
          <w:iCs/>
        </w:rPr>
        <w:t xml:space="preserve">certified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built-but-pending-device</w:t>
      </w:r>
      <w:r>
        <w:t xml:space="preserve">. Complexity</w:t>
      </w:r>
      <w:r>
        <w:t xml:space="preserve"> </w:t>
      </w:r>
      <w:r>
        <w:t xml:space="preserve">sums to ≈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§14's ~172 engineer-days — the widest error bars in the</w:t>
      </w:r>
      <w:r>
        <w:t xml:space="preserve"> </w:t>
      </w:r>
      <w:r>
        <w:t xml:space="preserve">programme, sizing only, never a date (§11.4.6).</w:t>
      </w:r>
    </w:p>
    <w:p>
      <w:r>
        <w:pict>
          <v:rect style="width:0;height:1.5pt" o:hralign="center" o:hrstd="t" o:hr="t"/>
        </w:pict>
      </w:r>
    </w:p>
    <w:bookmarkEnd w:id="19"/>
    <w:bookmarkStart w:id="2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§2.1 gates G20–G26, §5–§12 (every task Desc/Deliverable/Acceptance/Effort/Tests), §13 traceability + honest-gap rule, §14 risk register, §15 open decisions D-P3-* — read 2026-06-26.</w:t>
      </w:r>
    </w:p>
    <w:p>
      <w:pPr>
        <w:pStyle w:val="Compact"/>
        <w:numPr>
          <w:ilvl w:val="0"/>
          <w:numId w:val="1002"/>
        </w:numPr>
      </w:pPr>
      <w:r>
        <w:t xml:space="preserve">Sibling</w:t>
      </w:r>
      <w:r>
        <w:t xml:space="preserve"> 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(§3/§6/§9 incl.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outcomes),</w:t>
      </w:r>
      <w:r>
        <w:t xml:space="preserve"> </w:t>
      </w:r>
      <w:r>
        <w:rPr>
          <w:rStyle w:val="VerbatimChar"/>
        </w:rPr>
        <w:t xml:space="preserve">dependency-graph.md</w:t>
      </w:r>
      <w:r>
        <w:t xml:space="preserve"> </w:t>
      </w:r>
      <w:r>
        <w:t xml:space="preserve">(§6 Phase-3 DAG),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/</w:t>
      </w:r>
      <w:r>
        <w:rPr>
          <w:rStyle w:val="VerbatimChar"/>
        </w:rPr>
        <w:t xml:space="preserve">-p2.md</w:t>
      </w:r>
      <w:r>
        <w:t xml:space="preserve"> </w:t>
      </w:r>
      <w:r>
        <w:t xml:space="preserve">(§0 conventions) — authored this volume.</w:t>
      </w:r>
    </w:p>
    <w:p>
      <w:pPr>
        <w:pStyle w:val="Compact"/>
        <w:numPr>
          <w:ilvl w:val="0"/>
          <w:numId w:val="1002"/>
        </w:numPr>
      </w:pPr>
      <w:r>
        <w:t xml:space="preserve">Constitution anchors §11.4.3/.6/.10/.21/.27/.28/.40/.54/.66/.76/.86/.91/.93/.101/.102/.107/.108/.113/.115/.118/.128/.134/.135/.146/.151/.153/.156/.159/.161/.162/.165/.169 — read 2026-06-26.</w:t>
      </w:r>
    </w:p>
    <w:p>
      <w:pPr>
        <w:pStyle w:val="BlockText"/>
      </w:pPr>
      <w:r>
        <w:t xml:space="preserve">Honest boundary (§11.4.6): subtasks decompose stated Phase-3 work. Device- and</w:t>
      </w:r>
      <w:r>
        <w:t xml:space="preserve"> </w:t>
      </w:r>
      <w:r>
        <w:t xml:space="preserve">engagement-gated subtasks carry</w:t>
      </w:r>
      <w:r>
        <w:t xml:space="preserve"> 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markers verbatim — a gate is never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 metadata-only</w:t>
      </w:r>
      <w:r>
        <w:t xml:space="preserve"> </w:t>
      </w:r>
      <w:r>
        <w:t xml:space="preserve">evidence. All complexity is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never a date; Phase-3 carries the</w:t>
      </w:r>
      <w:r>
        <w:t xml:space="preserve"> </w:t>
      </w:r>
      <w:r>
        <w:t xml:space="preserve">programme's widest error bars.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(Extended Reach) Subtask Deepening — epic → task → subtask (closes R5)</dc:title>
  <dc:creator/>
  <cp:keywords/>
  <dcterms:created xsi:type="dcterms:W3CDTF">2026-07-04T13:44:06Z</dcterms:created>
  <dcterms:modified xsi:type="dcterms:W3CDTF">2026-07-04T13:44:06Z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