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go_cp</w:t>
      </w:r>
    </w:p>
    <w:bookmarkStart w:id="50" w:name="research-go_cp"/>
    <w:p>
      <w:pPr>
        <w:pStyle w:val="Heading1"/>
      </w:pPr>
      <w:r>
        <w:t xml:space="preserve">RESEARCH go_cp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Go control-plane stack for a Mullvad-parity self-hosted VPN. Latest authoritative</w:t>
      </w:r>
      <w:r>
        <w:t xml:space="preserve"> </w:t>
      </w:r>
      <w:r>
        <w:t xml:space="preserve">versions + best practices, as of</w:t>
      </w:r>
      <w:r>
        <w:t xml:space="preserve"> </w:t>
      </w:r>
      <w:r>
        <w:rPr>
          <w:b/>
          <w:bCs/>
        </w:rPr>
        <w:t xml:space="preserve">2026-06-25</w:t>
      </w:r>
      <w:r>
        <w:t xml:space="preserve"> </w:t>
      </w:r>
      <w:r>
        <w:t xml:space="preserve">(access date for every source below).</w:t>
      </w:r>
      <w:r>
        <w:t xml:space="preserve"> </w:t>
      </w:r>
      <w:r>
        <w:t xml:space="preserve">Per §11.4.99/§11.4.150: every claim is cited; latest official docs/releases preferred</w:t>
      </w:r>
      <w:r>
        <w:t xml:space="preserve"> </w:t>
      </w:r>
      <w:r>
        <w:t xml:space="preserve">over training memory.</w:t>
      </w:r>
    </w:p>
    <w:p>
      <w:r>
        <w:pict>
          <v:rect style="width:0;height:1.5pt" o:hralign="center" o:hrstd="t" o:hr="t"/>
        </w:pict>
      </w:r>
    </w:p>
    <w:bookmarkStart w:id="12" w:name="X2ccb115834970078d188dfac2472f950d4633eb"/>
    <w:p>
      <w:pPr>
        <w:pStyle w:val="Heading2"/>
      </w:pPr>
      <w:r>
        <w:t xml:space="preserve">1. Gin — REST surface</w:t>
      </w:r>
    </w:p>
    <w:p>
      <w:pPr>
        <w:pStyle w:val="FirstParagraph"/>
      </w:pPr>
      <w:r>
        <w:rPr>
          <w:b/>
          <w:bCs/>
        </w:rPr>
        <w:t xml:space="preserve">Latest: Gin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v1.12.0</w:t>
      </w:r>
      <w:r>
        <w:rPr>
          <w:b/>
          <w:bCs/>
        </w:rPr>
        <w:t xml:space="preserve"> </w:t>
      </w:r>
      <w:r>
        <w:rPr>
          <w:b/>
          <w:bCs/>
        </w:rPr>
        <w:t xml:space="preserve">(2025-02-28).</w:t>
      </w:r>
      <w:r>
        <w:t xml:space="preserve"> </w:t>
      </w:r>
      <w:r>
        <w:t xml:space="preserve">v1.11.0 (2024-09-20) added HTTP/3 (quic-go),</w:t>
      </w:r>
      <w:r>
        <w:t xml:space="preserve"> </w:t>
      </w:r>
      <w:r>
        <w:t xml:space="preserve">runtime-swappable custom JSON codec, and array form-binding; v1.12.0 added</w:t>
      </w:r>
      <w:r>
        <w:t xml:space="preserve"> </w:t>
      </w:r>
      <w:r>
        <w:rPr>
          <w:rStyle w:val="VerbatimChar"/>
        </w:rPr>
        <w:t xml:space="preserve">encoding.UnmarshalText</w:t>
      </w:r>
      <w:r>
        <w:t xml:space="preserve"> </w:t>
      </w:r>
      <w:r>
        <w:t xml:space="preserve">in uri/query binding and Protobuf content negotiation.</w:t>
      </w:r>
      <w:r>
        <w:t xml:space="preserve"> </w:t>
      </w:r>
      <w: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https://github.com/gin-gonic/gin/releases</w:t>
        </w:r>
      </w:hyperlink>
    </w:p>
    <w:p>
      <w:pPr>
        <w:pStyle w:val="BodyText"/>
      </w:pPr>
      <w:r>
        <w:t xml:space="preserve">Best practice:</w:t>
      </w:r>
    </w:p>
    <w:p>
      <w:pPr>
        <w:pStyle w:val="Compact"/>
        <w:numPr>
          <w:ilvl w:val="0"/>
          <w:numId w:val="1001"/>
        </w:numPr>
      </w:pPr>
      <w:r>
        <w:t xml:space="preserve">Gin is the thin</w:t>
      </w:r>
      <w:r>
        <w:t xml:space="preserve"> </w:t>
      </w:r>
      <w:r>
        <w:rPr>
          <w:b/>
          <w:bCs/>
        </w:rPr>
        <w:t xml:space="preserve">REST/JSON edge</w:t>
      </w:r>
      <w:r>
        <w:t xml:space="preserve"> </w:t>
      </w:r>
      <w:r>
        <w:t xml:space="preserve">(auth callbacks, health, admin, webhooks).</w:t>
      </w:r>
      <w:r>
        <w:t xml:space="preserve"> </w:t>
      </w:r>
      <w:r>
        <w:t xml:space="preserve">Keep the typed RPC surface (mobile/desktop clients, server-streaming) on</w:t>
      </w:r>
      <w:r>
        <w:t xml:space="preserve"> </w:t>
      </w:r>
      <w:r>
        <w:t xml:space="preserve">Connect-RPC (§2) — do NOT duplicate business logic across both. Mount Connect</w:t>
      </w:r>
      <w:r>
        <w:t xml:space="preserve"> </w:t>
      </w:r>
      <w:r>
        <w:t xml:space="preserve">handlers and Gin on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http.Server</w:t>
      </w:r>
      <w:r>
        <w:t xml:space="preserve"> </w:t>
      </w:r>
      <w:r>
        <w:t xml:space="preserve">via a top-level mux: Connect</w:t>
      </w:r>
      <w:r>
        <w:t xml:space="preserve"> </w:t>
      </w:r>
      <w:r>
        <w:t xml:space="preserve">handlers are plain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s, so route</w:t>
      </w:r>
      <w:r>
        <w:t xml:space="preserve"> </w:t>
      </w:r>
      <w:r>
        <w:rPr>
          <w:rStyle w:val="VerbatimChar"/>
        </w:rPr>
        <w:t xml:space="preserve">/grpc.*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/&lt;package&gt;.&lt;Service&gt;/</w:t>
      </w:r>
      <w:r>
        <w:t xml:space="preserve"> </w:t>
      </w:r>
      <w:r>
        <w:t xml:space="preserve">to the Connect mux and everything else to Gin. (</w:t>
      </w:r>
      <w:hyperlink r:id="rId10">
        <w:r>
          <w:rPr>
            <w:rStyle w:val="Hyperlink"/>
          </w:rPr>
          <w:t xml:space="preserve">https://connectrpc.com/docs/go/getting-started/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gin.New()</w:t>
      </w:r>
      <w:r>
        <w:t xml:space="preserve"> </w:t>
      </w:r>
      <w:r>
        <w:t xml:space="preserve">+ explicit middleware (Recovery, structured logger, request-ID),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gin.Default()</w:t>
      </w:r>
      <w:r>
        <w:t xml:space="preserve"> </w:t>
      </w:r>
      <w:r>
        <w:t xml:space="preserve">in production. Bind+validate with</w:t>
      </w:r>
      <w:r>
        <w:t xml:space="preserve"> </w:t>
      </w:r>
      <w:r>
        <w:rPr>
          <w:rStyle w:val="VerbatimChar"/>
        </w:rPr>
        <w:t xml:space="preserve">ShouldBindJSON</w:t>
      </w:r>
      <w:r>
        <w:t xml:space="preserve"> </w:t>
      </w:r>
      <w:r>
        <w:t xml:space="preserve">and the</w:t>
      </w:r>
      <w:r>
        <w:t xml:space="preserve"> </w:t>
      </w:r>
      <w:r>
        <w:t xml:space="preserve">built-in</w:t>
      </w:r>
      <w:r>
        <w:t xml:space="preserve"> </w:t>
      </w:r>
      <w:r>
        <w:rPr>
          <w:rStyle w:val="VerbatimChar"/>
        </w:rPr>
        <w:t xml:space="preserve">binding</w:t>
      </w:r>
      <w:r>
        <w:t xml:space="preserve"> </w:t>
      </w:r>
      <w:r>
        <w:t xml:space="preserve">(go-playground/validator) tags.</w:t>
      </w:r>
    </w:p>
    <w:p>
      <w:pPr>
        <w:pStyle w:val="Compact"/>
        <w:numPr>
          <w:ilvl w:val="0"/>
          <w:numId w:val="1001"/>
        </w:numPr>
      </w:pPr>
      <w:r>
        <w:t xml:space="preserve">Gin's own perf is rarely the bottleneck for a control plane; the DB round-trips</w:t>
      </w:r>
      <w:r>
        <w:t xml:space="preserve"> </w:t>
      </w:r>
      <w:r>
        <w:t xml:space="preserve">(§3) and Redis (§5) dominate. (</w:t>
      </w:r>
      <w:hyperlink r:id="rId11">
        <w:r>
          <w:rPr>
            <w:rStyle w:val="Hyperlink"/>
          </w:rPr>
          <w:t xml:space="preserve">https://gin-gonic.com/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22" w:name="X6a5cd5afb38688b8420dc8d26ab8fc3fe629c89"/>
    <w:p>
      <w:pPr>
        <w:pStyle w:val="Heading2"/>
      </w:pPr>
      <w:r>
        <w:t xml:space="preserve">2. Connect-RPC (connectrpc/connect-go) + buf — typed RPC / server-streaming</w:t>
      </w:r>
    </w:p>
    <w:p>
      <w:pPr>
        <w:pStyle w:val="FirstParagraph"/>
      </w:pPr>
      <w:r>
        <w:rPr>
          <w:b/>
          <w:bCs/>
        </w:rPr>
        <w:t xml:space="preserve">Latest: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connectrpc.com/connect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v1.20.0</w:t>
      </w:r>
      <w:r>
        <w:t xml:space="preserve"> </w:t>
      </w:r>
      <w:r>
        <w:t xml:space="preserve">(bumps minimum Go to 1.25; v1.19.0</w:t>
      </w:r>
      <w:r>
        <w:t xml:space="preserve"> </w:t>
      </w:r>
      <w:r>
        <w:t xml:space="preserve">moved to Go 1.24 + Edition 2024 support; supports the</w:t>
      </w:r>
      <w:r>
        <w:t xml:space="preserve"> </w:t>
      </w:r>
      <w:r>
        <w:rPr>
          <w:b/>
          <w:bCs/>
        </w:rPr>
        <w:t xml:space="preserve">two most recent Go majors</w:t>
      </w:r>
      <w:r>
        <w:t xml:space="preserve"> </w:t>
      </w:r>
      <w:r>
        <w:t xml:space="preserve">only). Stable, semver, no breaking changes in the 1.x line.</w:t>
      </w:r>
      <w:r>
        <w:t xml:space="preserve"> </w:t>
      </w:r>
      <w:r>
        <w:t xml:space="preserve">Sources:</w:t>
      </w:r>
      <w:r>
        <w:t xml:space="preserve"> </w:t>
      </w:r>
      <w:hyperlink r:id="rId13">
        <w:r>
          <w:rPr>
            <w:rStyle w:val="Hyperlink"/>
          </w:rPr>
          <w:t xml:space="preserve">https://github.com/connectrpc/connect-go/releases</w:t>
        </w:r>
      </w:hyperlink>
      <w:r>
        <w:t xml:space="preserve"> </w:t>
      </w:r>
      <w:r>
        <w:t xml:space="preserve">;</w:t>
      </w:r>
      <w:r>
        <w:t xml:space="preserve"> </w:t>
      </w:r>
      <w:hyperlink r:id="rId14">
        <w:r>
          <w:rPr>
            <w:rStyle w:val="Hyperlink"/>
          </w:rPr>
          <w:t xml:space="preserve">https://pkg.go.dev/connectrpc.com/connect</w:t>
        </w:r>
      </w:hyperlink>
    </w:p>
    <w:p>
      <w:pPr>
        <w:pStyle w:val="BodyText"/>
      </w:pPr>
      <w:r>
        <w:t xml:space="preserve">Why Connect for a VPN control plane: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handler speaks three protocols simultaneously</w:t>
      </w:r>
      <w:r>
        <w:t xml:space="preserve"> </w:t>
      </w:r>
      <w:r>
        <w:t xml:space="preserve">— gRPC, gRPC-Web, and the</w:t>
      </w:r>
      <w:r>
        <w:t xml:space="preserve"> </w:t>
      </w:r>
      <w:r>
        <w:t xml:space="preserve">Connect protocol — with NO Envoy/translating proxy. Native binary gRPC-Web means</w:t>
      </w:r>
      <w:r>
        <w:t xml:space="preserve"> </w:t>
      </w:r>
      <w:r>
        <w:t xml:space="preserve">browser/admin frontends talk to the server directly.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https://connectrpc.com/docs/go/grpc-compatibility/</w:t>
        </w:r>
      </w:hyperlink>
      <w:r>
        <w:t xml:space="preserve"> </w:t>
      </w:r>
      <w:r>
        <w:t xml:space="preserve">;</w:t>
      </w:r>
      <w:r>
        <w:t xml:space="preserve"> </w:t>
      </w:r>
      <w:hyperlink r:id="rId16">
        <w:r>
          <w:rPr>
            <w:rStyle w:val="Hyperlink"/>
          </w:rPr>
          <w:t xml:space="preserve">https://connectrpc.com/docs/multi-protocol/</w:t>
        </w:r>
      </w:hyperlink>
      <w:r>
        <w:t xml:space="preserve"> </w:t>
      </w:r>
      <w:r>
        <w:t xml:space="preserve">— gRPC-Web without Envoy)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Server-streaming</w:t>
      </w:r>
      <w:r>
        <w:t xml:space="preserve"> </w:t>
      </w:r>
      <w:r>
        <w:t xml:space="preserve">(the relevant mode for VPN: push device/peer/relay-list</w:t>
      </w:r>
      <w:r>
        <w:t xml:space="preserve"> </w:t>
      </w:r>
      <w:r>
        <w:t xml:space="preserve">updates, live tunnel status, account events). All streaming subtypes</w:t>
      </w:r>
      <w:r>
        <w:t xml:space="preserve"> </w:t>
      </w:r>
      <w:r>
        <w:t xml:space="preserve">(client/server/bidi) work across all three protocols. Caveat: in every protocol a</w:t>
      </w:r>
      <w:r>
        <w:t xml:space="preserve"> </w:t>
      </w:r>
      <w:r>
        <w:t xml:space="preserve">streaming response is always</w:t>
      </w:r>
      <w:r>
        <w:t xml:space="preserve"> </w:t>
      </w:r>
      <w:r>
        <w:rPr>
          <w:b/>
          <w:bCs/>
        </w:rPr>
        <w:t xml:space="preserve">HTTP 200 OK</w:t>
      </w:r>
      <w:r>
        <w:t xml:space="preserve"> </w:t>
      </w:r>
      <w:r>
        <w:t xml:space="preserve">even on error — errors are encoded in</w:t>
      </w:r>
      <w:r>
        <w:t xml:space="preserve"> </w:t>
      </w:r>
      <w:r>
        <w:t xml:space="preserve">trailers / end-of-body, never the HTTP status; design clients to read the trailer</w:t>
      </w:r>
      <w:r>
        <w:t xml:space="preserve"> </w:t>
      </w:r>
      <w:r>
        <w:t xml:space="preserve">status, not the response code. Bidi streaming needs HTTP/2 end-to-end.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https://connectrpc.com/docs/go/streaming/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Connect unary calls are also plain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(and optional GET for idempotent</w:t>
      </w:r>
      <w:r>
        <w:t xml:space="preserve"> </w:t>
      </w:r>
      <w:r>
        <w:t xml:space="preserve">side-effect-free methods) — debuggable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cacheable.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https://connectrpc.com/docs/protocol/</w:t>
        </w:r>
      </w:hyperlink>
      <w:r>
        <w:t xml:space="preserve">)</w:t>
      </w:r>
    </w:p>
    <w:p>
      <w:pPr>
        <w:pStyle w:val="FirstParagraph"/>
      </w:pPr>
      <w:r>
        <w:t xml:space="preserve">Codegen with</w:t>
      </w:r>
      <w:r>
        <w:t xml:space="preserve"> </w:t>
      </w:r>
      <w:r>
        <w:rPr>
          <w:b/>
          <w:bCs/>
        </w:rPr>
        <w:t xml:space="preserve">buf</w:t>
      </w:r>
      <w:r>
        <w:t xml:space="preserve"> </w:t>
      </w:r>
      <w:r>
        <w:t xml:space="preserve">(modern protoc replacement):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buf.yaml</w:t>
      </w:r>
      <w:r>
        <w:t xml:space="preserve"> </w:t>
      </w:r>
      <w:r>
        <w:t xml:space="preserve">(module config) +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(plugins). Generate with</w:t>
      </w:r>
      <w:r>
        <w:t xml:space="preserve"> </w:t>
      </w:r>
      <w:r>
        <w:rPr>
          <w:rStyle w:val="VerbatimChar"/>
        </w:rPr>
        <w:t xml:space="preserve">protoc-gen-go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protoc-gen-connect-go</w:t>
      </w:r>
      <w:r>
        <w:t xml:space="preserve">.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(against a</w:t>
      </w:r>
      <w:r>
        <w:t xml:space="preserve"> </w:t>
      </w:r>
      <w:r>
        <w:t xml:space="preserve">git ref or the BSR) in CI catch wire-incompatible schema drift before it ships.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https://connectrpc.com/docs/go/getting-started/</w:t>
        </w:r>
      </w:hyperlink>
      <w:r>
        <w:t xml:space="preserve"> </w:t>
      </w:r>
      <w:r>
        <w:t xml:space="preserve">;</w:t>
      </w:r>
      <w:r>
        <w:t xml:space="preserve"> </w:t>
      </w:r>
      <w:hyperlink r:id="rId19">
        <w:r>
          <w:rPr>
            <w:rStyle w:val="Hyperlink"/>
          </w:rPr>
          <w:t xml:space="preserve">https://buf.build/blog/connect-a-better-grpc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Pair with</w:t>
      </w:r>
      <w:r>
        <w:t xml:space="preserve"> </w:t>
      </w:r>
      <w:r>
        <w:rPr>
          <w:b/>
          <w:bCs/>
        </w:rPr>
        <w:t xml:space="preserve">protovalidate</w:t>
      </w:r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v1.0</w:t>
      </w:r>
      <w:r>
        <w:t xml:space="preserve">, production-stable) via the</w:t>
      </w:r>
      <w:r>
        <w:t xml:space="preserve"> </w:t>
      </w:r>
      <w:r>
        <w:rPr>
          <w:rStyle w:val="VerbatimChar"/>
        </w:rPr>
        <w:t xml:space="preserve">connectrpc/validate-go</w:t>
      </w:r>
      <w:r>
        <w:t xml:space="preserve"> </w:t>
      </w:r>
      <w:r>
        <w:t xml:space="preserve">interceptor for declarative request validation in the</w:t>
      </w:r>
      <w:r>
        <w:t xml:space="preserve"> </w:t>
      </w:r>
      <w:r>
        <w:t xml:space="preserve">proto schema (</w:t>
      </w:r>
      <w:r>
        <w:rPr>
          <w:rStyle w:val="VerbatimChar"/>
        </w:rPr>
        <w:t xml:space="preserve">buf.validate</w:t>
      </w:r>
      <w:r>
        <w:t xml:space="preserve"> </w:t>
      </w:r>
      <w:r>
        <w:t xml:space="preserve">field constraints) instead of hand-written Go checks —</w:t>
      </w:r>
      <w:r>
        <w:t xml:space="preserve"> </w:t>
      </w:r>
      <w:r>
        <w:t xml:space="preserve">validation lives next to the contract.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https://github.com/connectrpc/validate-go</w:t>
        </w:r>
      </w:hyperlink>
      <w:r>
        <w:t xml:space="preserve"> </w:t>
      </w:r>
      <w:r>
        <w:t xml:space="preserve">;</w:t>
      </w:r>
      <w:r>
        <w:t xml:space="preserve"> </w:t>
      </w:r>
      <w:hyperlink r:id="rId21">
        <w:r>
          <w:rPr>
            <w:rStyle w:val="Hyperlink"/>
          </w:rPr>
          <w:t xml:space="preserve">https://github.com/bufbuild/protovalidate-go/releases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9" w:name="X9d30a39546fe3c5962efc7000357ae83b02934c"/>
    <w:p>
      <w:pPr>
        <w:pStyle w:val="Heading2"/>
      </w:pPr>
      <w:r>
        <w:t xml:space="preserve">3. sqlc — typed SQL (NOT an ORM)</w:t>
      </w:r>
    </w:p>
    <w:p>
      <w:pPr>
        <w:pStyle w:val="FirstParagraph"/>
      </w:pPr>
      <w:r>
        <w:rPr>
          <w:b/>
          <w:bCs/>
        </w:rPr>
        <w:t xml:space="preserve">Latest: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v1.31.1</w:t>
      </w:r>
      <w:r>
        <w:rPr>
          <w:b/>
          <w:bCs/>
        </w:rPr>
        <w:t xml:space="preserve"> </w:t>
      </w:r>
      <w:r>
        <w:rPr>
          <w:b/>
          <w:bCs/>
        </w:rPr>
        <w:t xml:space="preserve">(2026-04-22).</w:t>
      </w:r>
      <w:r>
        <w:t xml:space="preserve"> </w:t>
      </w:r>
      <w:r>
        <w:t xml:space="preserve">(Stable docs line is 1.31.x; v1.27.0</w:t>
      </w:r>
      <w:r>
        <w:t xml:space="preserve"> </w:t>
      </w:r>
      <w:r>
        <w:t xml:space="preserve">introduced managed/local DB support for schema verification.)</w:t>
      </w:r>
      <w:r>
        <w:t xml:space="preserve"> </w:t>
      </w:r>
      <w:r>
        <w:t xml:space="preserve">Sources:</w:t>
      </w:r>
      <w:r>
        <w:t xml:space="preserve"> </w:t>
      </w:r>
      <w:hyperlink r:id="rId23">
        <w:r>
          <w:rPr>
            <w:rStyle w:val="Hyperlink"/>
          </w:rPr>
          <w:t xml:space="preserve">https://github.com/sqlc-dev/sqlc/releases</w:t>
        </w:r>
      </w:hyperlink>
      <w:r>
        <w:t xml:space="preserve"> </w:t>
      </w:r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https://docs.sqlc.dev/en/stable/</w:t>
        </w:r>
      </w:hyperlink>
    </w:p>
    <w:p>
      <w:pPr>
        <w:pStyle w:val="BodyText"/>
      </w:pPr>
      <w:r>
        <w:t xml:space="preserve">Best practice (Postgres + pgx):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sqlc.yaml</w:t>
      </w:r>
      <w:r>
        <w:t xml:space="preserve"> </w:t>
      </w:r>
      <w:r>
        <w:rPr>
          <w:b/>
          <w:bCs/>
        </w:rPr>
        <w:t xml:space="preserve">version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"2"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engine: postgresql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sql_package: "pgx/v5"</w:t>
      </w:r>
      <w:r>
        <w:t xml:space="preserve">,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schema:</w:t>
      </w:r>
      <w:r>
        <w:t xml:space="preserve"> </w:t>
      </w:r>
      <w:r>
        <w:t xml:space="preserve">(DDL / migration dir) and</w:t>
      </w:r>
      <w:r>
        <w:t xml:space="preserve"> </w:t>
      </w:r>
      <w:r>
        <w:rPr>
          <w:rStyle w:val="VerbatimChar"/>
        </w:rPr>
        <w:t xml:space="preserve">queries:</w:t>
      </w:r>
      <w:r>
        <w:t xml:space="preserve"> </w:t>
      </w:r>
      <w:r>
        <w:t xml:space="preserve">dirs. SQL is the source of</w:t>
      </w:r>
      <w:r>
        <w:t xml:space="preserve"> </w:t>
      </w:r>
      <w:r>
        <w:t xml:space="preserve">truth — write</w:t>
      </w:r>
      <w:r>
        <w:t xml:space="preserve"> </w:t>
      </w:r>
      <w:r>
        <w:rPr>
          <w:rStyle w:val="VerbatimChar"/>
        </w:rPr>
        <w:t xml:space="preserve">-- name: GetDevice :one</w:t>
      </w:r>
      <w:r>
        <w:t xml:space="preserve"> </w:t>
      </w:r>
      <w:r>
        <w:t xml:space="preserve">annotated queries, sqlc generates typed Go.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https://docs.sqlc.dev/en/stable/guides/using-go-and-pgx.html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pgx/v5</w:t>
      </w:r>
      <w:r>
        <w:t xml:space="preserve"> </w:t>
      </w:r>
      <w:r>
        <w:t xml:space="preserve">the generated code uses</w:t>
      </w:r>
      <w:r>
        <w:t xml:space="preserve"> </w:t>
      </w:r>
      <w:r>
        <w:rPr>
          <w:b/>
          <w:bCs/>
        </w:rPr>
        <w:t xml:space="preserve">pgx native types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pgtype.Timestamptz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pgtype.UUID</w:t>
      </w:r>
      <w:r>
        <w:t xml:space="preserve">) directly instead of</w:t>
      </w:r>
      <w:r>
        <w:t xml:space="preserve"> </w:t>
      </w:r>
      <w:r>
        <w:rPr>
          <w:rStyle w:val="VerbatimChar"/>
        </w:rPr>
        <w:t xml:space="preserve">database/sql</w:t>
      </w:r>
      <w:r>
        <w:t xml:space="preserve"> </w:t>
      </w:r>
      <w:r>
        <w:rPr>
          <w:rStyle w:val="VerbatimChar"/>
        </w:rPr>
        <w:t xml:space="preserve">Null*</w:t>
      </w:r>
      <w:r>
        <w:t xml:space="preserve"> </w:t>
      </w:r>
      <w:r>
        <w:t xml:space="preserve">wrappers — cleaner</w:t>
      </w:r>
      <w:r>
        <w:t xml:space="preserve"> </w:t>
      </w:r>
      <w:r>
        <w:t xml:space="preserve">null-handling. Type inference:</w:t>
      </w:r>
      <w:r>
        <w:t xml:space="preserve"> </w:t>
      </w:r>
      <w:r>
        <w:rPr>
          <w:rStyle w:val="VerbatimChar"/>
        </w:rPr>
        <w:t xml:space="preserve">int</w:t>
      </w:r>
      <w:r>
        <w:t xml:space="preserve">→</w:t>
      </w:r>
      <w:r>
        <w:rPr>
          <w:rStyle w:val="VerbatimChar"/>
        </w:rPr>
        <w:t xml:space="preserve">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→</w:t>
      </w:r>
      <w:r>
        <w:rPr>
          <w:rStyle w:val="VerbatimChar"/>
        </w:rPr>
        <w:t xml:space="preserve">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→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→</w:t>
      </w:r>
      <w:r>
        <w:rPr>
          <w:rStyle w:val="VerbatimChar"/>
        </w:rPr>
        <w:t xml:space="preserve">time.Time</w:t>
      </w:r>
      <w:r>
        <w:t xml:space="preserve">; nullable columns become pointer/</w:t>
      </w:r>
      <w:r>
        <w:rPr>
          <w:rStyle w:val="VerbatimChar"/>
        </w:rPr>
        <w:t xml:space="preserve">pgtype</w:t>
      </w:r>
      <w:r>
        <w:t xml:space="preserve"> </w:t>
      </w:r>
      <w:r>
        <w:t xml:space="preserve">automatically.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https://docs.sqlc.dev/en/latest/reference/datatypes.html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in sqlc.yaml to map custom domains/enums to Go types</w:t>
      </w:r>
      <w:r>
        <w:t xml:space="preserve"> </w:t>
      </w:r>
      <w:r>
        <w:t xml:space="preserve">(e.g. a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github.com/google/uuid.UUID</w:t>
      </w:r>
      <w:r>
        <w:t xml:space="preserve">, or a tenant enum to a typed</w:t>
      </w:r>
      <w:r>
        <w:t xml:space="preserve"> </w:t>
      </w:r>
      <w:r>
        <w:t xml:space="preserve">constant). (</w:t>
      </w:r>
      <w:hyperlink r:id="rId27">
        <w:r>
          <w:rPr>
            <w:rStyle w:val="Hyperlink"/>
          </w:rPr>
          <w:t xml:space="preserve">https://docs.sqlc.dev/en/latest/howto/overrides.html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sqlc generates</w:t>
      </w:r>
      <w:r>
        <w:t xml:space="preserve"> </w:t>
      </w:r>
      <w:r>
        <w:rPr>
          <w:rStyle w:val="VerbatimChar"/>
        </w:rPr>
        <w:t xml:space="preserve">Querier</w:t>
      </w:r>
      <w:r>
        <w:t xml:space="preserve"> </w:t>
      </w:r>
      <w:r>
        <w:t xml:space="preserve">interfaces → trivial to mock at the unit-test layer while</w:t>
      </w:r>
      <w:r>
        <w:t xml:space="preserve"> </w:t>
      </w:r>
      <w:r>
        <w:t xml:space="preserve">integration tests hit a real Postgres (§11.4.27 no-fakes-beyond-unit). Run sqlc in</w:t>
      </w:r>
      <w:r>
        <w:t xml:space="preserve"> </w:t>
      </w:r>
      <w:r>
        <w:t xml:space="preserve">CI with the managed-DB feature so a schema/query mismatch fails the build, not prod.</w:t>
      </w:r>
    </w:p>
    <w:p>
      <w:pPr>
        <w:pStyle w:val="FirstParagraph"/>
      </w:pPr>
      <w:r>
        <w:t xml:space="preserve">Driver:</w:t>
      </w:r>
      <w:r>
        <w:t xml:space="preserve"> </w:t>
      </w:r>
      <w:r>
        <w:rPr>
          <w:rStyle w:val="VerbatimChar"/>
          <w:b/>
          <w:bCs/>
        </w:rPr>
        <w:t xml:space="preserve">jackc/pgx/v5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v5.10.0</w:t>
      </w:r>
      <w:r>
        <w:rPr>
          <w:b/>
          <w:bCs/>
        </w:rPr>
        <w:t xml:space="preserve"> </w:t>
      </w:r>
      <w:r>
        <w:rPr>
          <w:b/>
          <w:bCs/>
        </w:rPr>
        <w:t xml:space="preserve">(2026-06-03)</w:t>
      </w:r>
      <w:r>
        <w:t xml:space="preserve"> </w:t>
      </w:r>
      <w:r>
        <w:t xml:space="preserve">— use the</w:t>
      </w:r>
      <w:r>
        <w:t xml:space="preserve"> </w:t>
      </w:r>
      <w:r>
        <w:rPr>
          <w:rStyle w:val="VerbatimChar"/>
        </w:rPr>
        <w:t xml:space="preserve">pgxpool</w:t>
      </w:r>
      <w:r>
        <w:t xml:space="preserve"> </w:t>
      </w:r>
      <w:r>
        <w:t xml:space="preserve">connection pool;</w:t>
      </w:r>
      <w:r>
        <w:t xml:space="preserve"> </w:t>
      </w:r>
      <w:r>
        <w:t xml:space="preserve">it is the de-facto Postgres driver and what sqlc's recommended path targets.</w:t>
      </w:r>
      <w:r>
        <w:t xml:space="preserve"> </w:t>
      </w:r>
      <w:r>
        <w:t xml:space="preserve">Source:</w:t>
      </w:r>
      <w:r>
        <w:t xml:space="preserve"> </w:t>
      </w:r>
      <w:hyperlink r:id="rId28">
        <w:r>
          <w:rPr>
            <w:rStyle w:val="Hyperlink"/>
          </w:rPr>
          <w:t xml:space="preserve">https://pkg.go.dev/github.com/jackc/pgx/v5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4" w:name="Xe636d406c9cee70b6388d7da1e803dcd40e2023"/>
    <w:p>
      <w:pPr>
        <w:pStyle w:val="Heading2"/>
      </w:pPr>
      <w:r>
        <w:t xml:space="preserve">4. Postgres Row-Level Security — multi-tenant isolation</w:t>
      </w:r>
    </w:p>
    <w:p>
      <w:pPr>
        <w:pStyle w:val="FirstParagraph"/>
      </w:pPr>
      <w:r>
        <w:t xml:space="preserve">Pattern (the canonical, audited 2025-2026 best practice for shared-schema multi-tenancy):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 connects as a non-owner, non-superuser role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BYPASSRLS</w:t>
      </w:r>
      <w:r>
        <w:rPr>
          <w:b/>
          <w:bCs/>
        </w:rPr>
        <w:t xml:space="preserve">.</w:t>
      </w:r>
      <w:r>
        <w:t xml:space="preserve"> </w:t>
      </w:r>
      <w:r>
        <w:t xml:space="preserve">If the app</w:t>
      </w:r>
      <w:r>
        <w:t xml:space="preserve"> </w:t>
      </w:r>
      <w:r>
        <w:t xml:space="preserve">role ever owns a table, add</w:t>
      </w:r>
      <w:r>
        <w:t xml:space="preserve"> </w:t>
      </w:r>
      <w:r>
        <w:rPr>
          <w:rStyle w:val="VerbatimChar"/>
        </w:rPr>
        <w:t xml:space="preserve">ALTER TABLE t FORCE ROW LEVEL SECURITY</w:t>
      </w:r>
      <w:r>
        <w:t xml:space="preserve"> </w:t>
      </w:r>
      <w:r>
        <w:t xml:space="preserve">(table owners</w:t>
      </w:r>
      <w:r>
        <w:t xml:space="preserve"> </w:t>
      </w:r>
      <w:r>
        <w:t xml:space="preserve">bypass RLS by default). Reserve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strictly for the</w:t>
      </w:r>
      <w:r>
        <w:t xml:space="preserve"> </w:t>
      </w:r>
      <w:r>
        <w:rPr>
          <w:b/>
          <w:bCs/>
        </w:rPr>
        <w:t xml:space="preserve">migration role</w:t>
      </w:r>
      <w:r>
        <w:t xml:space="preserve">, never</w:t>
      </w:r>
      <w:r>
        <w:t xml:space="preserve"> </w:t>
      </w:r>
      <w:r>
        <w:t xml:space="preserve">admin/app. Give admins an explicit admin policy, not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Per-transaction tenant context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 LOCAL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 LOCAL app.current_tenant = '&lt;id&gt;'</w:t>
      </w:r>
      <w:r>
        <w:t xml:space="preserve"> </w:t>
      </w:r>
      <w:r>
        <w:t xml:space="preserve">at the start of every transaction; the policy reads</w:t>
      </w:r>
      <w:r>
        <w:t xml:space="preserve"> </w:t>
      </w:r>
      <w:r>
        <w:rPr>
          <w:rStyle w:val="VerbatimChar"/>
        </w:rPr>
        <w:t xml:space="preserve">current_setting('app.current_tenant', true)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missing_ok avoids errors</w:t>
      </w:r>
      <w:r>
        <w:t xml:space="preserve"> </w:t>
      </w:r>
      <w:r>
        <w:t xml:space="preserve">when unset).</w:t>
      </w:r>
      <w:r>
        <w:t xml:space="preserve"> </w:t>
      </w:r>
      <w:r>
        <w:rPr>
          <w:rStyle w:val="VerbatimChar"/>
          <w:b/>
          <w:bCs/>
        </w:rPr>
        <w:t xml:space="preserve">SET LOCAL</w:t>
      </w:r>
      <w:r>
        <w:rPr>
          <w:b/>
          <w:bCs/>
        </w:rPr>
        <w:t xml:space="preserve"> </w:t>
      </w:r>
      <w:r>
        <w:rPr>
          <w:b/>
          <w:bCs/>
        </w:rPr>
        <w:t xml:space="preserve">is load-bearing</w:t>
      </w:r>
      <w:r>
        <w:t xml:space="preserve">: plain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persists for the whole</w:t>
      </w:r>
      <w:r>
        <w:t xml:space="preserve"> </w:t>
      </w:r>
      <w:r>
        <w:t xml:space="preserve">pooled connection's life, so the next request on that pooled conn inherits the</w:t>
      </w:r>
      <w:r>
        <w:t xml:space="preserve"> </w:t>
      </w:r>
      <w:r>
        <w:t xml:space="preserve">previous tenant's context — the #1 way teams silently break isolation. Always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, always inside an explicit transaction (it auto-resets at COMMIT/ROLLBACK).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Write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CHECK</w:t>
      </w:r>
      <w:r>
        <w:t xml:space="preserve"> </w:t>
      </w:r>
      <w:r>
        <w:t xml:space="preserve">explicitly on each policy.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alone</w:t>
      </w:r>
      <w:r>
        <w:t xml:space="preserve"> </w:t>
      </w:r>
      <w:r>
        <w:t xml:space="preserve">covers SELECT/UPDATE-visibility but Postgres does NOT auto-apply it as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on INSERT — so a tenant could insert rows for a tenant they can't read. Spell out both.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tenant_id</w:t>
      </w:r>
      <w:r>
        <w:rPr>
          <w:b/>
          <w:bCs/>
        </w:rPr>
        <w:t xml:space="preserve"> </w:t>
      </w:r>
      <w:r>
        <w:rPr>
          <w:b/>
          <w:bCs/>
        </w:rPr>
        <w:t xml:space="preserve">as the leading column</w:t>
      </w:r>
      <w:r>
        <w:t xml:space="preserve"> </w:t>
      </w:r>
      <w:r>
        <w:t xml:space="preserve">of every composite index. Without it RLS</w:t>
      </w:r>
      <w:r>
        <w:t xml:space="preserve"> </w:t>
      </w:r>
      <w:r>
        <w:t xml:space="preserve">is ~2 orders of magnitude slower; with proper composite indexes, RLS shows no</w:t>
      </w:r>
      <w:r>
        <w:t xml:space="preserve"> </w:t>
      </w:r>
      <w:r>
        <w:t xml:space="preserve">measurable degradation vs app-layer filtering even at ~500 concurrent conns. The</w:t>
      </w:r>
      <w:r>
        <w:t xml:space="preserve"> </w:t>
      </w:r>
      <w:r>
        <w:t xml:space="preserve">bottleneck is always missing indexes, never the policy evaluation.</w:t>
      </w:r>
    </w:p>
    <w:p>
      <w:pPr>
        <w:pStyle w:val="FirstParagraph"/>
      </w:pPr>
      <w:r>
        <w:t xml:space="preserve">Composition note for a VPN control plane: the tenant here may be the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(or organization). Bind the RLS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to the authenticated account claim from the</w:t>
      </w:r>
      <w:r>
        <w:t xml:space="preserve"> </w:t>
      </w:r>
      <w:r>
        <w:t xml:space="preserve">Connect/Gin auth interceptor, inside the same</w:t>
      </w:r>
      <w:r>
        <w:t xml:space="preserve"> </w:t>
      </w:r>
      <w:r>
        <w:rPr>
          <w:rStyle w:val="VerbatimChar"/>
        </w:rPr>
        <w:t xml:space="preserve">pgx.Tx</w:t>
      </w:r>
      <w:r>
        <w:t xml:space="preserve"> </w:t>
      </w:r>
      <w:r>
        <w:t xml:space="preserve">the sqlc queries run in — wire it</w:t>
      </w:r>
      <w:r>
        <w:t xml:space="preserve"> </w:t>
      </w:r>
      <w:r>
        <w:t xml:space="preserve">as a single</w:t>
      </w:r>
      <w:r>
        <w:t xml:space="preserve"> </w:t>
      </w:r>
      <w:r>
        <w:rPr>
          <w:rStyle w:val="VerbatimChar"/>
        </w:rPr>
        <w:t xml:space="preserve">WithTenantTx(ctx, accountID, fn)</w:t>
      </w:r>
      <w:r>
        <w:t xml:space="preserve"> </w:t>
      </w:r>
      <w:r>
        <w:t xml:space="preserve">helper so no code path can run a query</w:t>
      </w:r>
      <w:r>
        <w:t xml:space="preserve"> </w:t>
      </w:r>
      <w:r>
        <w:t xml:space="preserve">without first setting the context.</w:t>
      </w:r>
    </w:p>
    <w:p>
      <w:pPr>
        <w:pStyle w:val="BodyText"/>
      </w:pPr>
      <w:r>
        <w:t xml:space="preserve">Sources: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https://queryplane.com/blog/postgres-row-level-security-in-practice/</w:t>
        </w:r>
      </w:hyperlink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https://ricofritzsche.me/mastering-postgresql-row-level-security-rls-for-rock-solid-multi-tenancy/</w:t>
        </w:r>
      </w:hyperlink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https://aws.amazon.com/blogs/database/multi-tenant-data-isolation-with-postgresql-row-level-security/</w:t>
        </w:r>
      </w:hyperlink>
    </w:p>
    <w:p>
      <w:pPr>
        <w:pStyle w:val="Compact"/>
        <w:numPr>
          <w:ilvl w:val="0"/>
          <w:numId w:val="1006"/>
        </w:numPr>
      </w:pPr>
      <w:hyperlink r:id="rId33">
        <w:r>
          <w:rPr>
            <w:rStyle w:val="Hyperlink"/>
          </w:rPr>
          <w:t xml:space="preserve">https://www.bytebase.com/reference/postgres/how-to/postgres-row-level-security/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41" w:name="Xa5779ae74fb9895271578c91fa3bfb72691f3be"/>
    <w:p>
      <w:pPr>
        <w:pStyle w:val="Heading2"/>
      </w:pPr>
      <w:r>
        <w:t xml:space="preserve">5. Redis Streams — consumer groups + XAUTOCLAIM dead-letter</w:t>
      </w:r>
    </w:p>
    <w:p>
      <w:pPr>
        <w:pStyle w:val="FirstParagraph"/>
      </w:pPr>
      <w:r>
        <w:t xml:space="preserve">Use Redis Streams as the durable work/event bus (device-provisioning jobs, relay</w:t>
      </w:r>
      <w:r>
        <w:t xml:space="preserve"> </w:t>
      </w:r>
      <w:r>
        <w:t xml:space="preserve">health fan-out, async account events). Consumer-group + PEL pattern: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Each worker reads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XREADGROUP GROUP &lt;grp&gt; &lt;consumer&gt; COUNT n BLOCK &lt;ms&gt; STREAMS &lt;key&gt; 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XACK</w:t>
      </w:r>
      <w:r>
        <w:t xml:space="preserve">s on success. Unacked messages stay in the</w:t>
      </w:r>
      <w:r>
        <w:t xml:space="preserve"> </w:t>
      </w:r>
      <w:r>
        <w:rPr>
          <w:b/>
          <w:bCs/>
        </w:rPr>
        <w:t xml:space="preserve">Pending Entries</w:t>
      </w:r>
      <w:r>
        <w:rPr>
          <w:b/>
          <w:bCs/>
        </w:rPr>
        <w:t xml:space="preserve"> </w:t>
      </w:r>
      <w:r>
        <w:rPr>
          <w:b/>
          <w:bCs/>
        </w:rPr>
        <w:t xml:space="preserve">List (PEL)</w:t>
      </w:r>
      <w:r>
        <w:t xml:space="preserve"> </w:t>
      </w:r>
      <w:r>
        <w:t xml:space="preserve">for that consumer.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Recover dead/slow peers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XAUTOCLAIM &lt;key&gt; &lt;grp&gt; &lt;consumer&gt; &lt;min-idle-time&gt; &lt;start&gt;</w:t>
      </w:r>
      <w:r>
        <w:t xml:space="preserve"> </w:t>
      </w:r>
      <w:r>
        <w:t xml:space="preserve">— atomically scans for PEL entries idle ≥</w:t>
      </w:r>
      <w:r>
        <w:t xml:space="preserve"> </w:t>
      </w:r>
      <w:r>
        <w:rPr>
          <w:rStyle w:val="VerbatimChar"/>
        </w:rPr>
        <w:t xml:space="preserve">min-idle-time</w:t>
      </w:r>
      <w:r>
        <w:t xml:space="preserve"> </w:t>
      </w:r>
      <w:r>
        <w:t xml:space="preserve">(commonly</w:t>
      </w:r>
      <w:r>
        <w:t xml:space="preserve"> </w:t>
      </w:r>
      <w:r>
        <w:t xml:space="preserve">~60 000 ms) and transfers ownership to the calling healthy consumer. Preferred over</w:t>
      </w:r>
      <w:r>
        <w:t xml:space="preserve"> </w:t>
      </w:r>
      <w:r>
        <w:t xml:space="preserve">manual</w:t>
      </w:r>
      <w:r>
        <w:t xml:space="preserve"> </w:t>
      </w:r>
      <w:r>
        <w:rPr>
          <w:rStyle w:val="VerbatimChar"/>
        </w:rPr>
        <w:t xml:space="preserve">XPENDING</w:t>
      </w:r>
      <w:r>
        <w:t xml:space="preserve">+</w:t>
      </w:r>
      <w:r>
        <w:rPr>
          <w:rStyle w:val="VerbatimChar"/>
        </w:rPr>
        <w:t xml:space="preserve">XCLAIM</w:t>
      </w:r>
      <w:r>
        <w:t xml:space="preserve"> </w:t>
      </w:r>
      <w:r>
        <w:t xml:space="preserve">loops (single command, cursor-paged). Production loop:</w:t>
      </w:r>
      <w: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XAUTOCLAIM</w:t>
      </w:r>
      <w:r>
        <w:rPr>
          <w:b/>
          <w:bCs/>
        </w:rPr>
        <w:t xml:space="preserve"> </w:t>
      </w:r>
      <w:r>
        <w:rPr>
          <w:b/>
          <w:bCs/>
        </w:rPr>
        <w:t xml:space="preserve">stalled work,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XREADGROUP &gt;</w:t>
      </w:r>
      <w:r>
        <w:rPr>
          <w:b/>
          <w:bCs/>
        </w:rPr>
        <w:t xml:space="preserve"> </w:t>
      </w:r>
      <w:r>
        <w:rPr>
          <w:b/>
          <w:bCs/>
        </w:rPr>
        <w:t xml:space="preserve">for new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Dead-letter the poison messages.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/</w:t>
      </w:r>
      <w:r>
        <w:rPr>
          <w:rStyle w:val="VerbatimChar"/>
        </w:rPr>
        <w:t xml:space="preserve">XPENDING</w:t>
      </w:r>
      <w:r>
        <w:t xml:space="preserve"> </w:t>
      </w:r>
      <w:r>
        <w:t xml:space="preserve">expose the per-message</w:t>
      </w:r>
      <w:r>
        <w:t xml:space="preserve"> </w:t>
      </w:r>
      <w:r>
        <w:rPr>
          <w:b/>
          <w:bCs/>
        </w:rPr>
        <w:t xml:space="preserve">delivery count</w:t>
      </w:r>
      <w:r>
        <w:t xml:space="preserve">; when it exceeds a retry cap (e.g. 5),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the payload to a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&lt;key&gt;:dlq</w:t>
      </w:r>
      <w:r>
        <w:t xml:space="preserve"> </w:t>
      </w:r>
      <w:r>
        <w:t xml:space="preserve">stream +</w:t>
      </w:r>
      <w:r>
        <w:t xml:space="preserve"> </w:t>
      </w:r>
      <w:r>
        <w:rPr>
          <w:rStyle w:val="VerbatimChar"/>
        </w:rPr>
        <w:t xml:space="preserve">XACK</w:t>
      </w:r>
      <w:r>
        <w:t xml:space="preserve"> </w:t>
      </w:r>
      <w:r>
        <w:t xml:space="preserve">it off the main PEL so it stops being redelivered.</w:t>
      </w:r>
      <w:r>
        <w:t xml:space="preserve"> </w:t>
      </w:r>
      <w:r>
        <w:t xml:space="preserve">The DLQ stream is then inspectable/replayable. Track</w:t>
      </w:r>
      <w:r>
        <w:t xml:space="preserve"> </w:t>
      </w:r>
      <w:r>
        <w:rPr>
          <w:rStyle w:val="VerbatimChar"/>
        </w:rPr>
        <w:t xml:space="preserve">delivery_count</w:t>
      </w:r>
      <w:r>
        <w:t xml:space="preserve"> </w:t>
      </w:r>
      <w:r>
        <w:t xml:space="preserve">+ first-seen ts</w:t>
      </w:r>
      <w:r>
        <w:t xml:space="preserve"> </w:t>
      </w:r>
      <w:r>
        <w:t xml:space="preserve">in the DLQ entry for forensics.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Redis 8.4+ shortcut:</w:t>
      </w:r>
      <w:r>
        <w:t xml:space="preserve"> </w:t>
      </w:r>
      <w:r>
        <w:rPr>
          <w:rStyle w:val="VerbatimChar"/>
        </w:rPr>
        <w:t xml:space="preserve">XREADGROUP ... CLAIM &lt;min-idle-time&gt;</w:t>
      </w:r>
      <w:r>
        <w:t xml:space="preserve"> </w:t>
      </w:r>
      <w:r>
        <w:t xml:space="preserve">folds the reclaim</w:t>
      </w:r>
      <w:r>
        <w:t xml:space="preserve"> </w:t>
      </w:r>
      <w:r>
        <w:t xml:space="preserve">step into the read (single-shot reliable consumers), so you can do retry-caps /</w:t>
      </w:r>
      <w:r>
        <w:t xml:space="preserve"> </w:t>
      </w:r>
      <w:r>
        <w:t xml:space="preserve">poison-routing / stuck-detection without the separate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call. Use it if you</w:t>
      </w:r>
      <w:r>
        <w:t xml:space="preserve"> </w:t>
      </w:r>
      <w:r>
        <w:t xml:space="preserve">can pin Redis ≥ 8.4; otherwise the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-then-</w:t>
      </w:r>
      <w:r>
        <w:rPr>
          <w:rStyle w:val="VerbatimChar"/>
        </w:rPr>
        <w:t xml:space="preserve">XREADGROUP</w:t>
      </w:r>
      <w:r>
        <w:t xml:space="preserve"> </w:t>
      </w:r>
      <w:r>
        <w:t xml:space="preserve">two-step is the</w:t>
      </w:r>
      <w:r>
        <w:t xml:space="preserve"> </w:t>
      </w:r>
      <w:r>
        <w:t xml:space="preserve">portable form.</w:t>
      </w:r>
    </w:p>
    <w:p>
      <w:pPr>
        <w:pStyle w:val="Compact"/>
        <w:numPr>
          <w:ilvl w:val="0"/>
          <w:numId w:val="1007"/>
        </w:numPr>
      </w:pPr>
      <w:r>
        <w:t xml:space="preserve">Periodically trim with</w:t>
      </w:r>
      <w:r>
        <w:t xml:space="preserve"> </w:t>
      </w:r>
      <w:r>
        <w:rPr>
          <w:rStyle w:val="VerbatimChar"/>
        </w:rPr>
        <w:t xml:space="preserve">XADD ... MAXLEN ~ 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XTRIM MINID</w:t>
      </w:r>
      <w:r>
        <w:t xml:space="preserve"> </w:t>
      </w:r>
      <w:r>
        <w:t xml:space="preserve">so the stream doesn't</w:t>
      </w:r>
      <w:r>
        <w:t xml:space="preserve"> </w:t>
      </w:r>
      <w:r>
        <w:t xml:space="preserve">grow unbounded; the DLQ retention should outlive the main stream for audit.</w:t>
      </w:r>
    </w:p>
    <w:p>
      <w:pPr>
        <w:pStyle w:val="FirstParagraph"/>
      </w:pPr>
      <w:r>
        <w:t xml:space="preserve">Sources:</w:t>
      </w:r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https://redis.io/tutorials/redis-backed-job-queue-for-background-workers/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https://redis.io/docs/latest/commands/xclaim/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https://oneuptime.com/blog/post/2026-01-21-redis-dead-letter-queue/view</w:t>
        </w:r>
      </w:hyperlink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https://oneuptime.com/blog/post/2026-03-31-redis-handle-consumer-failures-streams/view</w:t>
        </w:r>
      </w:hyperlink>
    </w:p>
    <w:p>
      <w:pPr>
        <w:pStyle w:val="Compact"/>
        <w:numPr>
          <w:ilvl w:val="0"/>
          <w:numId w:val="1008"/>
        </w:numPr>
      </w:pPr>
      <w:hyperlink r:id="rId39">
        <w:r>
          <w:rPr>
            <w:rStyle w:val="Hyperlink"/>
          </w:rPr>
          <w:t xml:space="preserve">https://redis.io/blog/single-shot-reliable-consumers-with-xreadgroup-claim-in-redis-84/</w:t>
        </w:r>
      </w:hyperlink>
      <w:r>
        <w:t xml:space="preserve"> </w:t>
      </w:r>
      <w:r>
        <w:t xml:space="preserve">(Redis 8.4 CLAIM)</w:t>
      </w:r>
    </w:p>
    <w:p>
      <w:pPr>
        <w:pStyle w:val="FirstParagraph"/>
      </w:pPr>
      <w:r>
        <w:t xml:space="preserve">Go client: use</w:t>
      </w:r>
      <w:r>
        <w:t xml:space="preserve"> </w:t>
      </w:r>
      <w:r>
        <w:rPr>
          <w:rStyle w:val="VerbatimChar"/>
        </w:rPr>
        <w:t xml:space="preserve">redis/go-redis/v9</w:t>
      </w:r>
      <w:r>
        <w:t xml:space="preserve"> </w:t>
      </w:r>
      <w:r>
        <w:t xml:space="preserve">(has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XReadGroup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XAck</w:t>
      </w:r>
      <w:r>
        <w:t xml:space="preserve">,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with MAXLEN). (</w:t>
      </w:r>
      <w:hyperlink r:id="rId40">
        <w:r>
          <w:rPr>
            <w:rStyle w:val="Hyperlink"/>
          </w:rPr>
          <w:t xml:space="preserve">https://redis.io/docs/latest/develop/use-cases/streaming/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7" w:name="X92e4c8de132432f82223d4f27042bdc53536355"/>
    <w:p>
      <w:pPr>
        <w:pStyle w:val="Heading2"/>
      </w:pPr>
      <w:r>
        <w:t xml:space="preserve">6. Migrations — goose vs Atlas</w:t>
      </w:r>
    </w:p>
    <w:p>
      <w:pPr>
        <w:pStyle w:val="FirstParagraph"/>
      </w:pPr>
      <w:r>
        <w:rPr>
          <w:b/>
          <w:bCs/>
        </w:rPr>
        <w:t xml:space="preserve">goose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v3.27.1</w:t>
      </w:r>
      <w:r>
        <w:rPr>
          <w:b/>
          <w:bCs/>
        </w:rPr>
        <w:t xml:space="preserve"> </w:t>
      </w:r>
      <w:r>
        <w:rPr>
          <w:b/>
          <w:bCs/>
        </w:rPr>
        <w:t xml:space="preserve">(2026-04-24).</w:t>
      </w:r>
      <w:r>
        <w:t xml:space="preserve"> </w:t>
      </w:r>
      <w:r>
        <w:t xml:space="preserve">Lightweight, no DSL: numbered SQL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-- +goose 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 OR Go migration funcs. Tracks state only via a version table;</w:t>
      </w:r>
      <w:r>
        <w:t xml:space="preserve"> </w:t>
      </w:r>
      <w:r>
        <w:rPr>
          <w:b/>
          <w:bCs/>
        </w:rPr>
        <w:t xml:space="preserve">no drift detection, no auto-planning</w:t>
      </w:r>
      <w:r>
        <w:t xml:space="preserve"> </w:t>
      </w:r>
      <w:r>
        <w:t xml:space="preserve">— you hand-write every up/down. Best when the</w:t>
      </w:r>
      <w:r>
        <w:t xml:space="preserve"> </w:t>
      </w:r>
      <w:r>
        <w:t xml:space="preserve">team wants explicit, minimal, reviewable SQL with zero abstraction.</w:t>
      </w:r>
      <w:r>
        <w:t xml:space="preserve"> </w:t>
      </w:r>
      <w:r>
        <w:t xml:space="preserve">Sources:</w:t>
      </w:r>
      <w:r>
        <w:t xml:space="preserve"> </w:t>
      </w:r>
      <w:hyperlink r:id="rId42">
        <w:r>
          <w:rPr>
            <w:rStyle w:val="Hyperlink"/>
          </w:rPr>
          <w:t xml:space="preserve">https://github.com/pressly/goose/releases</w:t>
        </w:r>
      </w:hyperlink>
      <w:r>
        <w:t xml:space="preserve"> </w:t>
      </w:r>
      <w:r>
        <w:t xml:space="preserve">;</w:t>
      </w:r>
      <w:r>
        <w:t xml:space="preserve"> </w:t>
      </w:r>
      <w:hyperlink r:id="rId43">
        <w:r>
          <w:rPr>
            <w:rStyle w:val="Hyperlink"/>
          </w:rPr>
          <w:t xml:space="preserve">https://volomn.com/blog/database-migration-using-atlas-and-goose</w:t>
        </w:r>
      </w:hyperlink>
    </w:p>
    <w:p>
      <w:pPr>
        <w:pStyle w:val="BodyText"/>
      </w:pPr>
      <w:r>
        <w:rPr>
          <w:b/>
          <w:bCs/>
        </w:rPr>
        <w:t xml:space="preserve">Atlas.</w:t>
      </w:r>
      <w:r>
        <w:t xml:space="preserve"> </w:t>
      </w:r>
      <w:r>
        <w:t xml:space="preserve">Declarative, Terraform-like: you describe the</w:t>
      </w:r>
      <w:r>
        <w:t xml:space="preserve"> </w:t>
      </w:r>
      <w:r>
        <w:rPr>
          <w:b/>
          <w:bCs/>
        </w:rPr>
        <w:t xml:space="preserve">desired schema</w:t>
      </w:r>
      <w:r>
        <w:t xml:space="preserve"> </w:t>
      </w:r>
      <w:r>
        <w:t xml:space="preserve">(HCL/SQL),</w:t>
      </w:r>
      <w:r>
        <w:t xml:space="preserve"> </w:t>
      </w:r>
      <w:r>
        <w:t xml:space="preserve">Atlas builds a graph of DB entities,</w:t>
      </w:r>
      <w:r>
        <w:t xml:space="preserve"> </w:t>
      </w:r>
      <w:r>
        <w:rPr>
          <w:b/>
          <w:bCs/>
        </w:rPr>
        <w:t xml:space="preserve">auto-plans</w:t>
      </w:r>
      <w:r>
        <w:t xml:space="preserve"> </w:t>
      </w:r>
      <w:r>
        <w:t xml:space="preserve">the migration SQL to reach it, and</w:t>
      </w:r>
      <w:r>
        <w:t xml:space="preserve"> </w:t>
      </w:r>
      <w:r>
        <w:t xml:space="preserve">versions it. Runs migrations in a transaction with an advisory lock (one migration at a</w:t>
      </w:r>
      <w:r>
        <w:t xml:space="preserve"> </w:t>
      </w:r>
      <w:r>
        <w:t xml:space="preserve">time, order/integrity enforced) and</w:t>
      </w:r>
      <w:r>
        <w:t xml:space="preserve"> </w:t>
      </w:r>
      <w:r>
        <w:rPr>
          <w:b/>
          <w:bCs/>
        </w:rPr>
        <w:t xml:space="preserve">detects drift</w:t>
      </w:r>
      <w:r>
        <w:t xml:space="preserve"> </w:t>
      </w:r>
      <w:r>
        <w:t xml:space="preserve">between declared schema and live DB.</w:t>
      </w:r>
      <w:r>
        <w:t xml:space="preserve"> </w:t>
      </w:r>
      <w:r>
        <w:t xml:space="preserve">Best when you want declarative schema management + strong CI/CD + drift safety.</w:t>
      </w:r>
      <w:r>
        <w:t xml:space="preserve"> </w:t>
      </w:r>
      <w:r>
        <w:t xml:space="preserve">Sources:</w:t>
      </w:r>
      <w:r>
        <w:t xml:space="preserve"> </w:t>
      </w:r>
      <w:hyperlink r:id="rId44">
        <w:r>
          <w:rPr>
            <w:rStyle w:val="Hyperlink"/>
          </w:rPr>
          <w:t xml:space="preserve">https://atlasgo.io/blog/2022/12/01/picking-database-migration-tool</w:t>
        </w:r>
      </w:hyperlink>
      <w:r>
        <w:t xml:space="preserve"> </w:t>
      </w:r>
      <w:r>
        <w:t xml:space="preserve">;</w:t>
      </w:r>
      <w:r>
        <w:t xml:space="preserve"> </w:t>
      </w:r>
      <w:hyperlink r:id="rId45">
        <w:r>
          <w:rPr>
            <w:rStyle w:val="Hyperlink"/>
          </w:rPr>
          <w:t xml:space="preserve">https://codelit.io/blog/database-migration-tools-comparison</w:t>
        </w:r>
      </w:hyperlink>
    </w:p>
    <w:p>
      <w:pPr>
        <w:pStyle w:val="BodyText"/>
      </w:pPr>
      <w:r>
        <w:rPr>
          <w:b/>
          <w:bCs/>
        </w:rPr>
        <w:t xml:space="preserve">Recommendation for this stack:</w:t>
      </w:r>
      <w:r>
        <w:t xml:space="preserve"> </w:t>
      </w:r>
      <w:r>
        <w:t xml:space="preserve">the schema is also sqlc's</w:t>
      </w:r>
      <w:r>
        <w:t xml:space="preserve"> </w:t>
      </w:r>
      <w:r>
        <w:rPr>
          <w:rStyle w:val="VerbatimChar"/>
        </w:rPr>
        <w:t xml:space="preserve">schema:</w:t>
      </w:r>
      <w:r>
        <w:t xml:space="preserve"> </w:t>
      </w:r>
      <w:r>
        <w:t xml:space="preserve">source of truth,</w:t>
      </w:r>
      <w:r>
        <w:t xml:space="preserve"> </w:t>
      </w:r>
      <w:r>
        <w:t xml:space="preserve">and RLS policies (§4) are first-class DDL that MUST be reviewed line-by-line —</w:t>
      </w:r>
      <w:r>
        <w:t xml:space="preserve"> </w:t>
      </w:r>
      <w:r>
        <w:rPr>
          <w:b/>
          <w:bCs/>
        </w:rPr>
        <w:t xml:space="preserve">goose's explicit hand-written SQL is the safer default here</w:t>
      </w:r>
      <w:r>
        <w:t xml:space="preserve"> </w:t>
      </w:r>
      <w:r>
        <w:t xml:space="preserve">(you want to read the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CREATE POLICY ... USING ... WITH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in the</w:t>
      </w:r>
      <w:r>
        <w:t xml:space="preserve"> </w:t>
      </w:r>
      <w:r>
        <w:t xml:space="preserve">diff, not have a planner emit it). Atlas is the upgrade path if/when declarative drift</w:t>
      </w:r>
      <w:r>
        <w:t xml:space="preserve"> </w:t>
      </w:r>
      <w:r>
        <w:t xml:space="preserve">detection across many tables becomes worth the planner abstraction; Atlas can</w:t>
      </w:r>
      <w:r>
        <w:t xml:space="preserve"> </w:t>
      </w:r>
      <w:r>
        <w:rPr>
          <w:b/>
          <w:bCs/>
        </w:rPr>
        <w:t xml:space="preserve">import an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goose project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https://atlasgo.io/guides/migration-tools/goose-import</w:t>
        </w:r>
      </w:hyperlink>
      <w:r>
        <w:t xml:space="preserve">), so</w:t>
      </w:r>
      <w:r>
        <w:t xml:space="preserve"> </w:t>
      </w:r>
      <w:r>
        <w:t xml:space="preserve">starting on goose does not lock you out of Atlas later. Either way: migration role runs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; app role never does (§4).</w:t>
      </w:r>
    </w:p>
    <w:p>
      <w:r>
        <w:pict>
          <v:rect style="width:0;height:1.5pt" o:hralign="center" o:hrstd="t" o:hr="t"/>
        </w:pict>
      </w:r>
    </w:p>
    <w:bookmarkEnd w:id="47"/>
    <w:bookmarkStart w:id="48" w:name="Xa7d0ef1762bd44edd064c39fd1eb42f7cb173a6"/>
    <w:p>
      <w:pPr>
        <w:pStyle w:val="Heading2"/>
      </w:pPr>
      <w:r>
        <w:t xml:space="preserve">7. Integration / composition notes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 server, two surfaces:</w:t>
      </w:r>
      <w:r>
        <w:t xml:space="preserve"> </w:t>
      </w:r>
      <w:r>
        <w:t xml:space="preserve">mount Gin (REST edge) + Connect handlers</w:t>
      </w:r>
      <w:r>
        <w:t xml:space="preserve"> </w:t>
      </w:r>
      <w:r>
        <w:t xml:space="preserve">(typed RPC + server-streaming) on one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(HTTP/2 h2c or TLS-ALPN so gRPC</w:t>
      </w:r>
    </w:p>
    <w:p>
      <w:pPr>
        <w:pStyle w:val="Compact"/>
        <w:numPr>
          <w:ilvl w:val="1"/>
          <w:numId w:val="1010"/>
        </w:numPr>
      </w:pPr>
      <w:r>
        <w:t xml:space="preserve">bidi streaming work). Auth interceptor (Connect) / middleware (Gin) resolves the</w:t>
      </w:r>
      <w:r>
        <w:t xml:space="preserve"> </w:t>
      </w:r>
      <w:r>
        <w:t xml:space="preserve">account → sets the RLS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tenant inside the</w:t>
      </w:r>
      <w:r>
        <w:t xml:space="preserve"> </w:t>
      </w:r>
      <w:r>
        <w:rPr>
          <w:rStyle w:val="VerbatimChar"/>
        </w:rPr>
        <w:t xml:space="preserve">pgx.Tx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path:</w:t>
      </w:r>
      <w:r>
        <w:t xml:space="preserve"> </w:t>
      </w:r>
      <w:r>
        <w:t xml:space="preserve">Connect/Gin →</w:t>
      </w:r>
      <w:r>
        <w:t xml:space="preserve"> </w:t>
      </w:r>
      <w:r>
        <w:rPr>
          <w:rStyle w:val="VerbatimChar"/>
        </w:rPr>
        <w:t xml:space="preserve">WithTenantTx</w:t>
      </w:r>
      <w:r>
        <w:t xml:space="preserve"> </w:t>
      </w:r>
      <w:r>
        <w:t xml:space="preserve">(sets</w:t>
      </w:r>
      <w:r>
        <w:t xml:space="preserve"> </w:t>
      </w:r>
      <w:r>
        <w:rPr>
          <w:rStyle w:val="VerbatimChar"/>
        </w:rPr>
        <w:t xml:space="preserve">app.current_tenant</w:t>
      </w:r>
      <w:r>
        <w:t xml:space="preserve">) → sqlc</w:t>
      </w:r>
      <w:r>
        <w:t xml:space="preserve"> </w:t>
      </w:r>
      <w:r>
        <w:rPr>
          <w:rStyle w:val="VerbatimChar"/>
        </w:rPr>
        <w:t xml:space="preserve">Querier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pgxpool</w:t>
      </w:r>
      <w:r>
        <w:t xml:space="preserve"> </w:t>
      </w:r>
      <w:r>
        <w:t xml:space="preserve">→ RLS-enforced Postgres. No query escapes the tenant context.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 path:</w:t>
      </w:r>
      <w:r>
        <w:t xml:space="preserve"> </w:t>
      </w:r>
      <w:r>
        <w:t xml:space="preserve">control-plane writes a job/event → Redis Stream → worker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XREADGROUP</w:t>
      </w:r>
      <w:r>
        <w:t xml:space="preserve">+</w:t>
      </w:r>
      <w:r>
        <w:rPr>
          <w:rStyle w:val="VerbatimChar"/>
        </w:rPr>
        <w:t xml:space="preserve">XAUTOCLAIM</w:t>
      </w:r>
      <w:r>
        <w:t xml:space="preserve">+DLQ) → effects (relay config push, email, etc.).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 lifecycle:</w:t>
      </w:r>
      <w:r>
        <w:t xml:space="preserve"> </w:t>
      </w:r>
      <w:r>
        <w:t xml:space="preserve">goose migrations are the one DDL source; sqlc reads the same</w:t>
      </w:r>
      <w:r>
        <w:t xml:space="preserve"> </w:t>
      </w:r>
      <w:r>
        <w:rPr>
          <w:rStyle w:val="VerbatimChar"/>
        </w:rPr>
        <w:t xml:space="preserve">schema/</w:t>
      </w:r>
      <w:r>
        <w:t xml:space="preserve"> </w:t>
      </w:r>
      <w:r>
        <w:t xml:space="preserve">dir so generated Go always matches the migrated DB; CI runs goose-up against</w:t>
      </w:r>
      <w:r>
        <w:t xml:space="preserve"> </w:t>
      </w:r>
      <w:r>
        <w:t xml:space="preserve">an ephemeral Postgres + sqlc verify so schema/query/code drift fails the build.</w:t>
      </w:r>
    </w:p>
    <w:p>
      <w:r>
        <w:pict>
          <v:rect style="width:0;height:1.5pt" o:hralign="center" o:hrstd="t" o:hr="t"/>
        </w:pict>
      </w:r>
    </w:p>
    <w:bookmarkEnd w:id="48"/>
    <w:bookmarkStart w:id="4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1"/>
        </w:numPr>
      </w:pPr>
      <w:hyperlink r:id="rId9">
        <w:r>
          <w:rPr>
            <w:rStyle w:val="Hyperlink"/>
          </w:rPr>
          <w:t xml:space="preserve">https://github.com/gin-gonic/gin/releases</w:t>
        </w:r>
      </w:hyperlink>
      <w:r>
        <w:t xml:space="preserve"> </w:t>
      </w:r>
      <w:r>
        <w:t xml:space="preserve">— accessed 2026-06-25 (Gin v1.12.0 / v1.11.0)</w:t>
      </w:r>
    </w:p>
    <w:p>
      <w:pPr>
        <w:pStyle w:val="Compact"/>
        <w:numPr>
          <w:ilvl w:val="0"/>
          <w:numId w:val="1011"/>
        </w:numPr>
      </w:pPr>
      <w:hyperlink r:id="rId11">
        <w:r>
          <w:rPr>
            <w:rStyle w:val="Hyperlink"/>
          </w:rPr>
          <w:t xml:space="preserve">https://gin-gonic.com/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13">
        <w:r>
          <w:rPr>
            <w:rStyle w:val="Hyperlink"/>
          </w:rPr>
          <w:t xml:space="preserve">https://github.com/connectrpc/connect-go/releases</w:t>
        </w:r>
      </w:hyperlink>
      <w:r>
        <w:t xml:space="preserve"> </w:t>
      </w:r>
      <w:r>
        <w:t xml:space="preserve">— accessed 2026-06-25 (connect-go v1.20.0 / v1.19.0)</w:t>
      </w:r>
    </w:p>
    <w:p>
      <w:pPr>
        <w:pStyle w:val="Compact"/>
        <w:numPr>
          <w:ilvl w:val="0"/>
          <w:numId w:val="1011"/>
        </w:numPr>
      </w:pPr>
      <w:hyperlink r:id="rId14">
        <w:r>
          <w:rPr>
            <w:rStyle w:val="Hyperlink"/>
          </w:rPr>
          <w:t xml:space="preserve">https://pkg.go.dev/connectrpc.com/connect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15">
        <w:r>
          <w:rPr>
            <w:rStyle w:val="Hyperlink"/>
          </w:rPr>
          <w:t xml:space="preserve">https://connectrpc.com/docs/go/grpc-compatibility/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17">
        <w:r>
          <w:rPr>
            <w:rStyle w:val="Hyperlink"/>
          </w:rPr>
          <w:t xml:space="preserve">https://connectrpc.com/docs/go/streaming/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10">
        <w:r>
          <w:rPr>
            <w:rStyle w:val="Hyperlink"/>
          </w:rPr>
          <w:t xml:space="preserve">https://connectrpc.com/docs/go/getting-started/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18">
        <w:r>
          <w:rPr>
            <w:rStyle w:val="Hyperlink"/>
          </w:rPr>
          <w:t xml:space="preserve">https://connectrpc.com/docs/protocol/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19">
        <w:r>
          <w:rPr>
            <w:rStyle w:val="Hyperlink"/>
          </w:rPr>
          <w:t xml:space="preserve">https://buf.build/blog/connect-a-better-grpc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20">
        <w:r>
          <w:rPr>
            <w:rStyle w:val="Hyperlink"/>
          </w:rPr>
          <w:t xml:space="preserve">https://github.com/connectrpc/validate-go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21">
        <w:r>
          <w:rPr>
            <w:rStyle w:val="Hyperlink"/>
          </w:rPr>
          <w:t xml:space="preserve">https://github.com/bufbuild/protovalidate-go/releases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23">
        <w:r>
          <w:rPr>
            <w:rStyle w:val="Hyperlink"/>
          </w:rPr>
          <w:t xml:space="preserve">https://github.com/sqlc-dev/sqlc/releases</w:t>
        </w:r>
      </w:hyperlink>
      <w:r>
        <w:t xml:space="preserve"> </w:t>
      </w:r>
      <w:r>
        <w:t xml:space="preserve">— accessed 2026-06-25 (sqlc v1.31.1)</w:t>
      </w:r>
    </w:p>
    <w:p>
      <w:pPr>
        <w:pStyle w:val="Compact"/>
        <w:numPr>
          <w:ilvl w:val="0"/>
          <w:numId w:val="1011"/>
        </w:numPr>
      </w:pPr>
      <w:hyperlink r:id="rId25">
        <w:r>
          <w:rPr>
            <w:rStyle w:val="Hyperlink"/>
          </w:rPr>
          <w:t xml:space="preserve">https://docs.sqlc.dev/en/stable/guides/using-go-and-pgx.html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26">
        <w:r>
          <w:rPr>
            <w:rStyle w:val="Hyperlink"/>
          </w:rPr>
          <w:t xml:space="preserve">https://docs.sqlc.dev/en/latest/reference/datatypes.html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27">
        <w:r>
          <w:rPr>
            <w:rStyle w:val="Hyperlink"/>
          </w:rPr>
          <w:t xml:space="preserve">https://docs.sqlc.dev/en/latest/howto/overrides.html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Hyperlink"/>
          </w:rPr>
          <w:t xml:space="preserve">https://pkg.go.dev/github.com/jackc/pgx/v5</w:t>
        </w:r>
      </w:hyperlink>
      <w:r>
        <w:t xml:space="preserve"> </w:t>
      </w:r>
      <w:r>
        <w:t xml:space="preserve">— accessed 2026-06-25 (pgx v5.10.0)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Hyperlink"/>
          </w:rPr>
          <w:t xml:space="preserve">https://queryplane.com/blog/postgres-row-level-security-in-practice/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Hyperlink"/>
          </w:rPr>
          <w:t xml:space="preserve">https://ricofritzsche.me/mastering-postgresql-row-level-security-rls-for-rock-solid-multi-tenancy/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2">
        <w:r>
          <w:rPr>
            <w:rStyle w:val="Hyperlink"/>
          </w:rPr>
          <w:t xml:space="preserve">https://aws.amazon.com/blogs/database/multi-tenant-data-isolation-with-postgresql-row-level-security/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3">
        <w:r>
          <w:rPr>
            <w:rStyle w:val="Hyperlink"/>
          </w:rPr>
          <w:t xml:space="preserve">https://www.bytebase.com/reference/postgres/how-to/postgres-row-level-security/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https://redis.io/tutorials/redis-backed-job-queue-for-background-workers/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6">
        <w:r>
          <w:rPr>
            <w:rStyle w:val="Hyperlink"/>
          </w:rPr>
          <w:t xml:space="preserve">https://redis.io/docs/latest/commands/xclaim/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https://oneuptime.com/blog/post/2026-01-21-redis-dead-letter-queue/view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8">
        <w:r>
          <w:rPr>
            <w:rStyle w:val="Hyperlink"/>
          </w:rPr>
          <w:t xml:space="preserve">https://oneuptime.com/blog/post/2026-03-31-redis-handle-consumer-failures-streams/view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39">
        <w:r>
          <w:rPr>
            <w:rStyle w:val="Hyperlink"/>
          </w:rPr>
          <w:t xml:space="preserve">https://redis.io/blog/single-shot-reliable-consumers-with-xreadgroup-claim-in-redis-84/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40">
        <w:r>
          <w:rPr>
            <w:rStyle w:val="Hyperlink"/>
          </w:rPr>
          <w:t xml:space="preserve">https://redis.io/docs/latest/develop/use-cases/streaming/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42">
        <w:r>
          <w:rPr>
            <w:rStyle w:val="Hyperlink"/>
          </w:rPr>
          <w:t xml:space="preserve">https://github.com/pressly/goose/releases</w:t>
        </w:r>
      </w:hyperlink>
      <w:r>
        <w:t xml:space="preserve"> </w:t>
      </w:r>
      <w:r>
        <w:t xml:space="preserve">— accessed 2026-06-25 (goose v3.27.1)</w:t>
      </w:r>
    </w:p>
    <w:p>
      <w:pPr>
        <w:pStyle w:val="Compact"/>
        <w:numPr>
          <w:ilvl w:val="0"/>
          <w:numId w:val="1011"/>
        </w:numPr>
      </w:pPr>
      <w:hyperlink r:id="rId43">
        <w:r>
          <w:rPr>
            <w:rStyle w:val="Hyperlink"/>
          </w:rPr>
          <w:t xml:space="preserve">https://volomn.com/blog/database-migration-using-atlas-and-goose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44">
        <w:r>
          <w:rPr>
            <w:rStyle w:val="Hyperlink"/>
          </w:rPr>
          <w:t xml:space="preserve">https://atlasgo.io/blog/2022/12/01/picking-database-migration-tool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45">
        <w:r>
          <w:rPr>
            <w:rStyle w:val="Hyperlink"/>
          </w:rPr>
          <w:t xml:space="preserve">https://codelit.io/blog/database-migration-tools-comparison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1"/>
        </w:numPr>
      </w:pPr>
      <w:hyperlink r:id="rId46">
        <w:r>
          <w:rPr>
            <w:rStyle w:val="Hyperlink"/>
          </w:rPr>
          <w:t xml:space="preserve">https://atlasgo.io/guides/migration-tools/goose-import</w:t>
        </w:r>
      </w:hyperlink>
      <w:r>
        <w:t xml:space="preserve"> </w:t>
      </w:r>
      <w:r>
        <w:t xml:space="preserve">— accessed 2026-06-25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atlasgo.io/blog/2022/12/01/picking-database-migration-tool" TargetMode="External" /><Relationship Type="http://schemas.openxmlformats.org/officeDocument/2006/relationships/hyperlink" Id="rId46" Target="https://atlasgo.io/guides/migration-tools/goose-import" TargetMode="External" /><Relationship Type="http://schemas.openxmlformats.org/officeDocument/2006/relationships/hyperlink" Id="rId32" Target="https://aws.amazon.com/blogs/database/multi-tenant-data-isolation-with-postgresql-row-level-security/" TargetMode="External" /><Relationship Type="http://schemas.openxmlformats.org/officeDocument/2006/relationships/hyperlink" Id="rId19" Target="https://buf.build/blog/connect-a-better-grpc" TargetMode="External" /><Relationship Type="http://schemas.openxmlformats.org/officeDocument/2006/relationships/hyperlink" Id="rId45" Target="https://codelit.io/blog/database-migration-tools-comparison" TargetMode="External" /><Relationship Type="http://schemas.openxmlformats.org/officeDocument/2006/relationships/hyperlink" Id="rId10" Target="https://connectrpc.com/docs/go/getting-started/" TargetMode="External" /><Relationship Type="http://schemas.openxmlformats.org/officeDocument/2006/relationships/hyperlink" Id="rId15" Target="https://connectrpc.com/docs/go/grpc-compatibility/" TargetMode="External" /><Relationship Type="http://schemas.openxmlformats.org/officeDocument/2006/relationships/hyperlink" Id="rId17" Target="https://connectrpc.com/docs/go/streaming/" TargetMode="External" /><Relationship Type="http://schemas.openxmlformats.org/officeDocument/2006/relationships/hyperlink" Id="rId16" Target="https://connectrpc.com/docs/multi-protocol/" TargetMode="External" /><Relationship Type="http://schemas.openxmlformats.org/officeDocument/2006/relationships/hyperlink" Id="rId18" Target="https://connectrpc.com/docs/protocol/" TargetMode="External" /><Relationship Type="http://schemas.openxmlformats.org/officeDocument/2006/relationships/hyperlink" Id="rId27" Target="https://docs.sqlc.dev/en/latest/howto/overrides.html" TargetMode="External" /><Relationship Type="http://schemas.openxmlformats.org/officeDocument/2006/relationships/hyperlink" Id="rId26" Target="https://docs.sqlc.dev/en/latest/reference/datatypes.html" TargetMode="External" /><Relationship Type="http://schemas.openxmlformats.org/officeDocument/2006/relationships/hyperlink" Id="rId24" Target="https://docs.sqlc.dev/en/stable/" TargetMode="External" /><Relationship Type="http://schemas.openxmlformats.org/officeDocument/2006/relationships/hyperlink" Id="rId25" Target="https://docs.sqlc.dev/en/stable/guides/using-go-and-pgx.html" TargetMode="External" /><Relationship Type="http://schemas.openxmlformats.org/officeDocument/2006/relationships/hyperlink" Id="rId11" Target="https://gin-gonic.com/" TargetMode="External" /><Relationship Type="http://schemas.openxmlformats.org/officeDocument/2006/relationships/hyperlink" Id="rId21" Target="https://github.com/bufbuild/protovalidate-go/releases" TargetMode="External" /><Relationship Type="http://schemas.openxmlformats.org/officeDocument/2006/relationships/hyperlink" Id="rId13" Target="https://github.com/connectrpc/connect-go/releases" TargetMode="External" /><Relationship Type="http://schemas.openxmlformats.org/officeDocument/2006/relationships/hyperlink" Id="rId20" Target="https://github.com/connectrpc/validate-go" TargetMode="External" /><Relationship Type="http://schemas.openxmlformats.org/officeDocument/2006/relationships/hyperlink" Id="rId9" Target="https://github.com/gin-gonic/gin/releases" TargetMode="External" /><Relationship Type="http://schemas.openxmlformats.org/officeDocument/2006/relationships/hyperlink" Id="rId42" Target="https://github.com/pressly/goose/releases" TargetMode="External" /><Relationship Type="http://schemas.openxmlformats.org/officeDocument/2006/relationships/hyperlink" Id="rId23" Target="https://github.com/sqlc-dev/sqlc/releases" TargetMode="External" /><Relationship Type="http://schemas.openxmlformats.org/officeDocument/2006/relationships/hyperlink" Id="rId37" Target="https://oneuptime.com/blog/post/2026-01-21-redis-dead-letter-queue/view" TargetMode="External" /><Relationship Type="http://schemas.openxmlformats.org/officeDocument/2006/relationships/hyperlink" Id="rId38" Target="https://oneuptime.com/blog/post/2026-03-31-redis-handle-consumer-failures-streams/view" TargetMode="External" /><Relationship Type="http://schemas.openxmlformats.org/officeDocument/2006/relationships/hyperlink" Id="rId14" Target="https://pkg.go.dev/connectrpc.com/connect" TargetMode="External" /><Relationship Type="http://schemas.openxmlformats.org/officeDocument/2006/relationships/hyperlink" Id="rId28" Target="https://pkg.go.dev/github.com/jackc/pgx/v5" TargetMode="External" /><Relationship Type="http://schemas.openxmlformats.org/officeDocument/2006/relationships/hyperlink" Id="rId30" Target="https://queryplane.com/blog/postgres-row-level-security-in-practice/" TargetMode="External" /><Relationship Type="http://schemas.openxmlformats.org/officeDocument/2006/relationships/hyperlink" Id="rId39" Target="https://redis.io/blog/single-shot-reliable-consumers-with-xreadgroup-claim-in-redis-84/" TargetMode="External" /><Relationship Type="http://schemas.openxmlformats.org/officeDocument/2006/relationships/hyperlink" Id="rId36" Target="https://redis.io/docs/latest/commands/xclaim/" TargetMode="External" /><Relationship Type="http://schemas.openxmlformats.org/officeDocument/2006/relationships/hyperlink" Id="rId40" Target="https://redis.io/docs/latest/develop/use-cases/streaming/" TargetMode="External" /><Relationship Type="http://schemas.openxmlformats.org/officeDocument/2006/relationships/hyperlink" Id="rId35" Target="https://redis.io/tutorials/redis-backed-job-queue-for-background-workers/" TargetMode="External" /><Relationship Type="http://schemas.openxmlformats.org/officeDocument/2006/relationships/hyperlink" Id="rId31" Target="https://ricofritzsche.me/mastering-postgresql-row-level-security-rls-for-rock-solid-multi-tenancy/" TargetMode="External" /><Relationship Type="http://schemas.openxmlformats.org/officeDocument/2006/relationships/hyperlink" Id="rId43" Target="https://volomn.com/blog/database-migration-using-atlas-and-goose" TargetMode="External" /><Relationship Type="http://schemas.openxmlformats.org/officeDocument/2006/relationships/hyperlink" Id="rId33" Target="https://www.bytebase.com/reference/postgres/how-to/postgres-row-level-secur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atlasgo.io/blog/2022/12/01/picking-database-migration-tool" TargetMode="External" /><Relationship Type="http://schemas.openxmlformats.org/officeDocument/2006/relationships/hyperlink" Id="rId46" Target="https://atlasgo.io/guides/migration-tools/goose-import" TargetMode="External" /><Relationship Type="http://schemas.openxmlformats.org/officeDocument/2006/relationships/hyperlink" Id="rId32" Target="https://aws.amazon.com/blogs/database/multi-tenant-data-isolation-with-postgresql-row-level-security/" TargetMode="External" /><Relationship Type="http://schemas.openxmlformats.org/officeDocument/2006/relationships/hyperlink" Id="rId19" Target="https://buf.build/blog/connect-a-better-grpc" TargetMode="External" /><Relationship Type="http://schemas.openxmlformats.org/officeDocument/2006/relationships/hyperlink" Id="rId45" Target="https://codelit.io/blog/database-migration-tools-comparison" TargetMode="External" /><Relationship Type="http://schemas.openxmlformats.org/officeDocument/2006/relationships/hyperlink" Id="rId10" Target="https://connectrpc.com/docs/go/getting-started/" TargetMode="External" /><Relationship Type="http://schemas.openxmlformats.org/officeDocument/2006/relationships/hyperlink" Id="rId15" Target="https://connectrpc.com/docs/go/grpc-compatibility/" TargetMode="External" /><Relationship Type="http://schemas.openxmlformats.org/officeDocument/2006/relationships/hyperlink" Id="rId17" Target="https://connectrpc.com/docs/go/streaming/" TargetMode="External" /><Relationship Type="http://schemas.openxmlformats.org/officeDocument/2006/relationships/hyperlink" Id="rId16" Target="https://connectrpc.com/docs/multi-protocol/" TargetMode="External" /><Relationship Type="http://schemas.openxmlformats.org/officeDocument/2006/relationships/hyperlink" Id="rId18" Target="https://connectrpc.com/docs/protocol/" TargetMode="External" /><Relationship Type="http://schemas.openxmlformats.org/officeDocument/2006/relationships/hyperlink" Id="rId27" Target="https://docs.sqlc.dev/en/latest/howto/overrides.html" TargetMode="External" /><Relationship Type="http://schemas.openxmlformats.org/officeDocument/2006/relationships/hyperlink" Id="rId26" Target="https://docs.sqlc.dev/en/latest/reference/datatypes.html" TargetMode="External" /><Relationship Type="http://schemas.openxmlformats.org/officeDocument/2006/relationships/hyperlink" Id="rId24" Target="https://docs.sqlc.dev/en/stable/" TargetMode="External" /><Relationship Type="http://schemas.openxmlformats.org/officeDocument/2006/relationships/hyperlink" Id="rId25" Target="https://docs.sqlc.dev/en/stable/guides/using-go-and-pgx.html" TargetMode="External" /><Relationship Type="http://schemas.openxmlformats.org/officeDocument/2006/relationships/hyperlink" Id="rId11" Target="https://gin-gonic.com/" TargetMode="External" /><Relationship Type="http://schemas.openxmlformats.org/officeDocument/2006/relationships/hyperlink" Id="rId21" Target="https://github.com/bufbuild/protovalidate-go/releases" TargetMode="External" /><Relationship Type="http://schemas.openxmlformats.org/officeDocument/2006/relationships/hyperlink" Id="rId13" Target="https://github.com/connectrpc/connect-go/releases" TargetMode="External" /><Relationship Type="http://schemas.openxmlformats.org/officeDocument/2006/relationships/hyperlink" Id="rId20" Target="https://github.com/connectrpc/validate-go" TargetMode="External" /><Relationship Type="http://schemas.openxmlformats.org/officeDocument/2006/relationships/hyperlink" Id="rId9" Target="https://github.com/gin-gonic/gin/releases" TargetMode="External" /><Relationship Type="http://schemas.openxmlformats.org/officeDocument/2006/relationships/hyperlink" Id="rId42" Target="https://github.com/pressly/goose/releases" TargetMode="External" /><Relationship Type="http://schemas.openxmlformats.org/officeDocument/2006/relationships/hyperlink" Id="rId23" Target="https://github.com/sqlc-dev/sqlc/releases" TargetMode="External" /><Relationship Type="http://schemas.openxmlformats.org/officeDocument/2006/relationships/hyperlink" Id="rId37" Target="https://oneuptime.com/blog/post/2026-01-21-redis-dead-letter-queue/view" TargetMode="External" /><Relationship Type="http://schemas.openxmlformats.org/officeDocument/2006/relationships/hyperlink" Id="rId38" Target="https://oneuptime.com/blog/post/2026-03-31-redis-handle-consumer-failures-streams/view" TargetMode="External" /><Relationship Type="http://schemas.openxmlformats.org/officeDocument/2006/relationships/hyperlink" Id="rId14" Target="https://pkg.go.dev/connectrpc.com/connect" TargetMode="External" /><Relationship Type="http://schemas.openxmlformats.org/officeDocument/2006/relationships/hyperlink" Id="rId28" Target="https://pkg.go.dev/github.com/jackc/pgx/v5" TargetMode="External" /><Relationship Type="http://schemas.openxmlformats.org/officeDocument/2006/relationships/hyperlink" Id="rId30" Target="https://queryplane.com/blog/postgres-row-level-security-in-practice/" TargetMode="External" /><Relationship Type="http://schemas.openxmlformats.org/officeDocument/2006/relationships/hyperlink" Id="rId39" Target="https://redis.io/blog/single-shot-reliable-consumers-with-xreadgroup-claim-in-redis-84/" TargetMode="External" /><Relationship Type="http://schemas.openxmlformats.org/officeDocument/2006/relationships/hyperlink" Id="rId36" Target="https://redis.io/docs/latest/commands/xclaim/" TargetMode="External" /><Relationship Type="http://schemas.openxmlformats.org/officeDocument/2006/relationships/hyperlink" Id="rId40" Target="https://redis.io/docs/latest/develop/use-cases/streaming/" TargetMode="External" /><Relationship Type="http://schemas.openxmlformats.org/officeDocument/2006/relationships/hyperlink" Id="rId35" Target="https://redis.io/tutorials/redis-backed-job-queue-for-background-workers/" TargetMode="External" /><Relationship Type="http://schemas.openxmlformats.org/officeDocument/2006/relationships/hyperlink" Id="rId31" Target="https://ricofritzsche.me/mastering-postgresql-row-level-security-rls-for-rock-solid-multi-tenancy/" TargetMode="External" /><Relationship Type="http://schemas.openxmlformats.org/officeDocument/2006/relationships/hyperlink" Id="rId43" Target="https://volomn.com/blog/database-migration-using-atlas-and-goose" TargetMode="External" /><Relationship Type="http://schemas.openxmlformats.org/officeDocument/2006/relationships/hyperlink" Id="rId33" Target="https://www.bytebase.com/reference/postgres/how-to/postgres-row-level-secur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go_cp</dc:title>
  <dc:creator/>
  <cp:keywords/>
  <dcterms:created xsi:type="dcterms:W3CDTF">2026-07-04T13:45:09Z</dcterms:created>
  <dcterms:modified xsi:type="dcterms:W3CDTF">2026-07-04T13:45:09Z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