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3.png" ContentType="image/png"/>
  <Override PartName="/word/media/rId34.png" ContentType="image/png"/>
  <Override PartName="/word/media/rId4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Phase 3: Enterprise &amp; Scale (MVP3)</w:t>
      </w:r>
    </w:p>
    <w:bookmarkStart w:id="73" w:name="helixvpn--phase-3-enterprise--scale-mvp3"/>
    <w:p>
      <w:pPr>
        <w:pStyle w:val="Heading1"/>
      </w:pPr>
      <w:r>
        <w:t xml:space="preserve">HelixVPN — Phase 3: Enterprise &amp; Scale (MVP3)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specification — describes what to build, not the shipping product.</w:t>
      </w:r>
    </w:p>
    <w:p>
      <w:pPr>
        <w:pStyle w:val="BlockText"/>
      </w:pPr>
      <w:r>
        <w:rPr>
          <w:b/>
          <w:bCs/>
        </w:rPr>
        <w:t xml:space="preserve">Scope of this document.</w:t>
      </w:r>
      <w:r>
        <w:t xml:space="preserve"> </w:t>
      </w:r>
      <w:r>
        <w:t xml:space="preserve">Phase 0 (spike) and Phase 1 (self-hostable control-plane MVP) —</w:t>
      </w:r>
      <w:r>
        <w:t xml:space="preserve"> </w:t>
      </w:r>
      <w:r>
        <w:t xml:space="preserve">Go control plane (</w:t>
      </w:r>
      <w:r>
        <w:rPr>
          <w:rStyle w:val="VerbatimChar"/>
        </w:rPr>
        <w:t xml:space="preserve">helixd</w:t>
      </w:r>
      <w:r>
        <w:t xml:space="preserve">), Postgres+RLS, Redis Streams, the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data plane,</w:t>
      </w:r>
      <w:r>
        <w:t xml:space="preserve"> </w:t>
      </w:r>
      <w:r>
        <w:t xml:space="preserve">WireGuard/MASQUE/Shadowsocks/LWO transports, the policy compiler,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, Podman</w:t>
      </w:r>
      <w:r>
        <w:t xml:space="preserve"> </w:t>
      </w:r>
      <w:r>
        <w:t xml:space="preserve">quadlets — are specified end-to-end under</w:t>
      </w:r>
      <w:r>
        <w:t xml:space="preserve"> </w:t>
      </w:r>
      <w:r>
        <w:rPr>
          <w:rStyle w:val="VerbatimChar"/>
        </w:rPr>
        <w:t xml:space="preserve">docs/research/mvp/</w:t>
      </w:r>
      <w:r>
        <w:t xml:space="preserve"> </w:t>
      </w:r>
      <w:r>
        <w:t xml:space="preserve">(spine:</w:t>
      </w:r>
      <w:r>
        <w:t xml:space="preserve"> </w:t>
      </w:r>
      <w:r>
        <w:rPr>
          <w:rStyle w:val="VerbatimChar"/>
        </w:rPr>
        <w:t xml:space="preserve">docs/research/mvp/final/SPECIFICATION.md</w:t>
      </w:r>
      <w:r>
        <w:t xml:space="preserve">; architecture:</w:t>
      </w:r>
      <w:r>
        <w:t xml:space="preserve"> </w:t>
      </w:r>
      <w:r>
        <w:rPr>
          <w:rStyle w:val="VerbatimChar"/>
        </w:rPr>
        <w:t xml:space="preserve">docs/research/mvp/04_VPN_CLD/HelixVPN-Architecture-Refined.md</w:t>
      </w:r>
      <w:r>
        <w:t xml:space="preserve">). Phase 2 — the 8-platform</w:t>
      </w:r>
      <w:r>
        <w:t xml:space="preserve"> </w:t>
      </w:r>
      <w:r>
        <w:t xml:space="preserve">client-application suite (Tauri v2 desktop, Flutter mobile/HarmonyOS, Qt6/QML Aurora, browser</w:t>
      </w:r>
      <w:r>
        <w:t xml:space="preserve"> </w:t>
      </w:r>
      <w:r>
        <w:t xml:space="preserve">extension/PWA, all on the shared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Rust library) — is specified under</w:t>
      </w:r>
      <w:r>
        <w:t xml:space="preserve"> </w:t>
      </w:r>
      <w:r>
        <w:rPr>
          <w:rStyle w:val="VerbatimChar"/>
        </w:rPr>
        <w:t xml:space="preserve">docs/research/mvp2/</w:t>
      </w:r>
      <w:r>
        <w:t xml:space="preserve"> </w:t>
      </w:r>
      <w:r>
        <w:t xml:space="preserve">(entry point:</w:t>
      </w:r>
      <w:r>
        <w:t xml:space="preserve"> </w:t>
      </w:r>
      <w:r>
        <w:rPr>
          <w:rStyle w:val="VerbatimChar"/>
        </w:rPr>
        <w:t xml:space="preserve">docs/research/mvp2/README.md</w:t>
      </w:r>
      <w:r>
        <w:t xml:space="preserve">).</w:t>
      </w:r>
      <w:r>
        <w:t xml:space="preserve"> </w:t>
      </w:r>
      <w:r>
        <w:rPr>
          <w:b/>
          <w:bCs/>
        </w:rPr>
        <w:t xml:space="preserve">This document defines</w:t>
      </w:r>
      <w:r>
        <w:rPr>
          <w:b/>
          <w:bCs/>
        </w:rPr>
        <w:t xml:space="preserve"> </w:t>
      </w:r>
      <w:r>
        <w:rPr>
          <w:b/>
          <w:bCs/>
        </w:rPr>
        <w:t xml:space="preserve">Phase 3</w:t>
      </w:r>
      <w:r>
        <w:t xml:space="preserve">: the step that takes a working, single-tenant-capable MVP to an</w:t>
      </w:r>
      <w:r>
        <w:t xml:space="preserve"> </w:t>
      </w:r>
      <w:r>
        <w:rPr>
          <w:b/>
          <w:bCs/>
        </w:rPr>
        <w:t xml:space="preserve">enterprise-ready, horizontally-scalable, commercially deployable</w:t>
      </w:r>
      <w:r>
        <w:t xml:space="preserve"> </w:t>
      </w:r>
      <w:r>
        <w:t xml:space="preserve">platform —</w:t>
      </w:r>
      <w:r>
        <w:t xml:space="preserve"> </w:t>
      </w:r>
      <w:r>
        <w:t xml:space="preserve">multi-tenant organizations, enterprise SSO/SCIM/device-trust, multi-region HA, an advanced</w:t>
      </w:r>
      <w:r>
        <w:t xml:space="preserve"> </w:t>
      </w:r>
      <w:r>
        <w:t xml:space="preserve">policy engine, compliance-grade observability, marketplace/billing, and hardened advanced</w:t>
      </w:r>
      <w:r>
        <w:t xml:space="preserve"> </w:t>
      </w:r>
      <w:r>
        <w:t xml:space="preserve">networking.</w:t>
      </w:r>
    </w:p>
    <w:p>
      <w:pPr>
        <w:pStyle w:val="BlockText"/>
      </w:pPr>
      <w:r>
        <w:rPr>
          <w:b/>
          <w:bCs/>
        </w:rPr>
        <w:t xml:space="preserve">A pre-existing naming collision, disclosed honestly (constitution §11.4.6 no-guessing).</w:t>
      </w:r>
      <w:r>
        <w:t xml:space="preserve"> </w:t>
      </w:r>
      <w:r>
        <w:rPr>
          <w:rStyle w:val="VerbatimChar"/>
        </w:rPr>
        <w:t xml:space="preserve">docs/research/mvp/final/09-phase3-reach-wbs.md</w:t>
      </w:r>
      <w:r>
        <w:t xml:space="preserve"> </w:t>
      </w:r>
      <w:r>
        <w:rPr>
          <w:b/>
          <w:bCs/>
        </w:rPr>
        <w:t xml:space="preserve">already exists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already titled</w:t>
      </w:r>
      <w:r>
        <w:t xml:space="preserve"> </w:t>
      </w:r>
      <w:r>
        <w:t xml:space="preserve">"Phase 3 — Extended Reach &amp; Hardening." That document's Phase 3 covers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scope:</w:t>
      </w:r>
      <w:r>
        <w:t xml:space="preserve"> </w:t>
      </w:r>
      <w:r>
        <w:t xml:space="preserve">HarmonyOS NEXT + Aurora OS native tunnel shims (epics</w:t>
      </w:r>
      <w:r>
        <w:t xml:space="preserve"> </w:t>
      </w:r>
      <w:r>
        <w:rPr>
          <w:rStyle w:val="VerbatimChar"/>
        </w:rPr>
        <w:t xml:space="preserve">E21</w:t>
      </w:r>
      <w:r>
        <w:t xml:space="preserve">/</w:t>
      </w:r>
      <w:r>
        <w:rPr>
          <w:rStyle w:val="VerbatimChar"/>
        </w:rPr>
        <w:t xml:space="preserve">E22</w:t>
      </w:r>
      <w:r>
        <w:t xml:space="preserve">), an in-browser WASM MASQUE</w:t>
      </w:r>
      <w:r>
        <w:t xml:space="preserve"> </w:t>
      </w:r>
      <w:r>
        <w:t xml:space="preserve">proxy (</w:t>
      </w:r>
      <w:r>
        <w:rPr>
          <w:rStyle w:val="VerbatimChar"/>
        </w:rPr>
        <w:t xml:space="preserve">E23</w:t>
      </w:r>
      <w:r>
        <w:t xml:space="preserve">), a</w:t>
      </w:r>
      <w:r>
        <w:t xml:space="preserve"> </w:t>
      </w:r>
      <w:r>
        <w:rPr>
          <w:b/>
          <w:bCs/>
        </w:rPr>
        <w:t xml:space="preserve">billing-optional multi-tenant</w:t>
      </w:r>
      <w:r>
        <w:t xml:space="preserve"> </w:t>
      </w:r>
      <w:r>
        <w:t xml:space="preserve">foundation (</w:t>
      </w:r>
      <w:r>
        <w:rPr>
          <w:rStyle w:val="VerbatimChar"/>
        </w:rPr>
        <w:t xml:space="preserve">E24</w:t>
      </w:r>
      <w:r>
        <w:t xml:space="preserve"> </w:t>
      </w:r>
      <w:r>
        <w:t xml:space="preserve">— plans, subscriptions,</w:t>
      </w:r>
      <w:r>
        <w:t xml:space="preserve"> </w:t>
      </w:r>
      <w:r>
        <w:t xml:space="preserve">aggregate-only usage counters, RLS), a third-party security audit (</w:t>
      </w:r>
      <w:r>
        <w:rPr>
          <w:rStyle w:val="VerbatimChar"/>
        </w:rPr>
        <w:t xml:space="preserve">E25</w:t>
      </w:r>
      <w:r>
        <w:t xml:space="preserve">), and reproducible</w:t>
      </w:r>
      <w:r>
        <w:t xml:space="preserve"> </w:t>
      </w:r>
      <w:r>
        <w:t xml:space="preserve">builds (</w:t>
      </w:r>
      <w:r>
        <w:rPr>
          <w:rStyle w:val="VerbatimChar"/>
        </w:rPr>
        <w:t xml:space="preserve">E26</w:t>
      </w:r>
      <w:r>
        <w:t xml:space="preserve">). Those are genuinely Phase-2-adjacent</w:t>
      </w:r>
      <w:r>
        <w:t xml:space="preserve"> </w:t>
      </w:r>
      <w:r>
        <w:rPr>
          <w:i/>
          <w:iCs/>
        </w:rPr>
        <w:t xml:space="preserve">platform-completion and</w:t>
      </w:r>
      <w:r>
        <w:rPr>
          <w:i/>
          <w:iCs/>
        </w:rPr>
        <w:t xml:space="preserve"> </w:t>
      </w:r>
      <w:r>
        <w:rPr>
          <w:i/>
          <w:iCs/>
        </w:rPr>
        <w:t xml:space="preserve">hardening</w:t>
      </w:r>
      <w:r>
        <w:t xml:space="preserve"> </w:t>
      </w:r>
      <w:r>
        <w:t xml:space="preserve">items, not organizational/enterprise-scale items.</w:t>
      </w:r>
      <w:r>
        <w:t xml:space="preserve"> </w:t>
      </w:r>
      <w:r>
        <w:rPr>
          <w:b/>
          <w:bCs/>
        </w:rPr>
        <w:t xml:space="preserve">This document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duplicate or contradict that work — it explicitly extends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E24</w:t>
      </w:r>
      <w:r>
        <w:rPr>
          <w:b/>
          <w:bCs/>
        </w:rPr>
        <w:t xml:space="preserve">'s billing schema (§8) and</w:t>
      </w:r>
      <w:r>
        <w:rPr>
          <w:b/>
          <w:bCs/>
        </w:rPr>
        <w:t xml:space="preserve"> </w:t>
      </w:r>
      <w:r>
        <w:rPr>
          <w:b/>
          <w:bCs/>
        </w:rPr>
        <w:t xml:space="preserve">cross-references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E25</w:t>
      </w:r>
      <w:r>
        <w:rPr>
          <w:b/>
          <w:bCs/>
        </w:rPr>
        <w:t xml:space="preserve">'s audit epic (§7.3, §10) rather than re-specifying them.</w:t>
      </w:r>
      <w:r>
        <w:t xml:space="preserve"> </w:t>
      </w:r>
      <w:r>
        <w:t xml:space="preserve">The full</w:t>
      </w:r>
      <w:r>
        <w:t xml:space="preserve"> </w:t>
      </w:r>
      <w:r>
        <w:t xml:space="preserve">reconciliation of the two "Phase 3" labels, and the recommended resolution, is documented in</w:t>
      </w:r>
      <w:r>
        <w:t xml:space="preserve"> </w:t>
      </w:r>
      <w:r>
        <w:rPr>
          <w:rStyle w:val="VerbatimChar"/>
        </w:rPr>
        <w:t xml:space="preserve">docs/research/UNIFIED_PHASE_ROADMAP.md</w:t>
      </w:r>
      <w:r>
        <w:t xml:space="preserve"> </w:t>
      </w:r>
      <w:r>
        <w:t xml:space="preserve">§4 — read it alongside this file. Until the operator</w:t>
      </w:r>
      <w:r>
        <w:t xml:space="preserve"> </w:t>
      </w:r>
      <w:r>
        <w:t xml:space="preserve">makes a naming decision, this document's workable items use a</w:t>
      </w:r>
      <w:r>
        <w:t xml:space="preserve"> </w:t>
      </w:r>
      <w:r>
        <w:rPr>
          <w:b/>
          <w:bCs/>
        </w:rPr>
        <w:t xml:space="preserve">distinct ID namespace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HVPN-ENT-NNN</w:t>
      </w:r>
      <w:r>
        <w:t xml:space="preserve">, epics</w:t>
      </w:r>
      <w:r>
        <w:t xml:space="preserve"> </w:t>
      </w:r>
      <w:r>
        <w:rPr>
          <w:rStyle w:val="VerbatimChar"/>
        </w:rPr>
        <w:t xml:space="preserve">E30</w:t>
      </w:r>
      <w:r>
        <w:t xml:space="preserve">+, gates</w:t>
      </w:r>
      <w:r>
        <w:t xml:space="preserve"> </w:t>
      </w:r>
      <w:r>
        <w:rPr>
          <w:rStyle w:val="VerbatimChar"/>
        </w:rPr>
        <w:t xml:space="preserve">G30</w:t>
      </w:r>
      <w:r>
        <w:t xml:space="preserve">+) so they never collide with the existing</w:t>
      </w:r>
      <w:r>
        <w:t xml:space="preserve"> </w:t>
      </w:r>
      <w:r>
        <w:rPr>
          <w:rStyle w:val="VerbatimChar"/>
        </w:rPr>
        <w:t xml:space="preserve">HVPN-P3-NNN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G20</w:t>
      </w:r>
      <w:r>
        <w:t xml:space="preserve">–</w:t>
      </w:r>
      <w:r>
        <w:rPr>
          <w:rStyle w:val="VerbatimChar"/>
        </w:rPr>
        <w:t xml:space="preserve">G26</w:t>
      </w:r>
      <w:r>
        <w:t xml:space="preserve"> </w:t>
      </w:r>
      <w:r>
        <w:t xml:space="preserve">rows if both land in the same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(§11.4.93).</w:t>
      </w:r>
    </w:p>
    <w:p>
      <w:pPr>
        <w:pStyle w:val="BlockText"/>
      </w:pPr>
      <w:r>
        <w:rPr>
          <w:b/>
          <w:bCs/>
        </w:rPr>
        <w:t xml:space="preserve">Entry condition.</w:t>
      </w:r>
      <w:r>
        <w:t xml:space="preserve"> </w:t>
      </w:r>
      <w:r>
        <w:t xml:space="preserve">Phase 3 (this document) starts once Phase 2's 8-platform client suite has</w:t>
      </w:r>
      <w:r>
        <w:t xml:space="preserve"> </w:t>
      </w:r>
      <w:r>
        <w:t xml:space="preserve">a working build on at least the Tier-1 platforms (macOS/Windows/Linux/Android per</w:t>
      </w:r>
      <w:r>
        <w:t xml:space="preserve"> </w:t>
      </w:r>
      <w:r>
        <w:rPr>
          <w:rStyle w:val="VerbatimChar"/>
        </w:rPr>
        <w:t xml:space="preserve">docs/research/mvp2/MVP2_OVERVIEW.md</w:t>
      </w:r>
      <w:r>
        <w:t xml:space="preserve"> </w:t>
      </w:r>
      <w:r>
        <w:t xml:space="preserve">§4.2)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Phase 0/1 control-plane Definition of</w:t>
      </w:r>
      <w:r>
        <w:t xml:space="preserve"> </w:t>
      </w:r>
      <w:r>
        <w:t xml:space="preserve">Done (</w:t>
      </w:r>
      <w:r>
        <w:rPr>
          <w:rStyle w:val="VerbatimChar"/>
        </w:rPr>
        <w:t xml:space="preserve">docs/research/mvp/final/07-phase1-mvp-wbs.md</w:t>
      </w:r>
      <w:r>
        <w:t xml:space="preserve">) is green on a clean baseline. Everything</w:t>
      </w:r>
      <w:r>
        <w:t xml:space="preserve"> </w:t>
      </w:r>
      <w:r>
        <w:t xml:space="preserve">below 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to that baseline — no invariant from the constitution's non-negotiable</w:t>
      </w:r>
      <w:r>
        <w:t xml:space="preserve"> </w:t>
      </w:r>
      <w:r>
        <w:t xml:space="preserve">principles (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§2; restated in</w:t>
      </w:r>
      <w:r>
        <w:t xml:space="preserve"> </w:t>
      </w:r>
      <w:r>
        <w:rPr>
          <w:rStyle w:val="VerbatimChar"/>
        </w:rPr>
        <w:t xml:space="preserve">mvp/final/SPECIFICATION.md</w:t>
      </w:r>
      <w:r>
        <w:t xml:space="preserve"> </w:t>
      </w:r>
      <w:r>
        <w:t xml:space="preserve">§4) is relaxed. In particular:</w:t>
      </w:r>
      <w:r>
        <w:t xml:space="preserve"> </w:t>
      </w:r>
      <w:r>
        <w:rPr>
          <w:b/>
          <w:bCs/>
        </w:rPr>
        <w:t xml:space="preserve">no-logging-as-code stays absolute</w:t>
      </w:r>
      <w:r>
        <w:t xml:space="preserve"> </w:t>
      </w:r>
      <w:r>
        <w:t xml:space="preserve">— every enterprise feature below that touches auditing, DLP, or QoS is designed to add</w:t>
      </w:r>
      <w:r>
        <w:t xml:space="preserve"> </w:t>
      </w:r>
      <w:r>
        <w:rPr>
          <w:i/>
          <w:iCs/>
        </w:rPr>
        <w:t xml:space="preserve">metadata-level, aggregate, or control-plane</w:t>
      </w:r>
      <w:r>
        <w:t xml:space="preserve"> </w:t>
      </w:r>
      <w:r>
        <w:t xml:space="preserve">observability, never a per-connection or</w:t>
      </w:r>
      <w:r>
        <w:t xml:space="preserve"> </w:t>
      </w:r>
      <w:r>
        <w:t xml:space="preserve">per-content traffic log. Where a feature request would require breaking that invariant (full</w:t>
      </w:r>
      <w:r>
        <w:t xml:space="preserve"> </w:t>
      </w:r>
      <w:r>
        <w:t xml:space="preserve">deep-packet-content DLP is the clearest example, §6.3), this document says so explicitly rather</w:t>
      </w:r>
      <w:r>
        <w:t xml:space="preserve"> </w:t>
      </w:r>
      <w:r>
        <w:t xml:space="preserve">than hand-waving it.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1. Executive summary</w:t>
        </w:r>
      </w:hyperlink>
    </w:p>
    <w:p>
      <w:pPr>
        <w:pStyle w:val="Compact"/>
        <w:numPr>
          <w:ilvl w:val="0"/>
          <w:numId w:val="1001"/>
        </w:numPr>
      </w:pPr>
      <w:hyperlink w:anchor="Xf4c9b82302354c557a188e79374763f653ad6e1">
        <w:r>
          <w:rPr>
            <w:rStyle w:val="Hyperlink"/>
          </w:rPr>
          <w:t xml:space="preserve">2. Architectural principles for Phase 3</w:t>
        </w:r>
      </w:hyperlink>
    </w:p>
    <w:p>
      <w:pPr>
        <w:pStyle w:val="Compact"/>
        <w:numPr>
          <w:ilvl w:val="0"/>
          <w:numId w:val="1001"/>
        </w:numPr>
      </w:pPr>
      <w:hyperlink w:anchor="X8de767c8ff790aa3fa96d8041968f9b92e861e2">
        <w:r>
          <w:rPr>
            <w:rStyle w:val="Hyperlink"/>
          </w:rPr>
          <w:t xml:space="preserve">3. Multi-tenancy &amp; organizations</w:t>
        </w:r>
      </w:hyperlink>
    </w:p>
    <w:p>
      <w:pPr>
        <w:pStyle w:val="Compact"/>
        <w:numPr>
          <w:ilvl w:val="0"/>
          <w:numId w:val="1001"/>
        </w:numPr>
      </w:pPr>
      <w:hyperlink w:anchor="X5a079ccdb9d7d820dfaf39a74aa77d69c773c9f">
        <w:r>
          <w:rPr>
            <w:rStyle w:val="Hyperlink"/>
          </w:rPr>
          <w:t xml:space="preserve">4. Enterprise identity</w:t>
        </w:r>
      </w:hyperlink>
    </w:p>
    <w:p>
      <w:pPr>
        <w:pStyle w:val="Compact"/>
        <w:numPr>
          <w:ilvl w:val="0"/>
          <w:numId w:val="1001"/>
        </w:numPr>
      </w:pPr>
      <w:hyperlink w:anchor="X18dee6633df5270bfc6a7feb81ba18656c7668f">
        <w:r>
          <w:rPr>
            <w:rStyle w:val="Hyperlink"/>
          </w:rPr>
          <w:t xml:space="preserve">5. Global scale &amp; HA</w:t>
        </w:r>
      </w:hyperlink>
    </w:p>
    <w:p>
      <w:pPr>
        <w:pStyle w:val="Compact"/>
        <w:numPr>
          <w:ilvl w:val="0"/>
          <w:numId w:val="1001"/>
        </w:numPr>
      </w:pPr>
      <w:hyperlink w:anchor="X831dcb85846b1f2e976c7bf9671c12fc8bae864">
        <w:r>
          <w:rPr>
            <w:rStyle w:val="Hyperlink"/>
          </w:rPr>
          <w:t xml:space="preserve">6. Advanced policy engine</w:t>
        </w:r>
      </w:hyperlink>
    </w:p>
    <w:p>
      <w:pPr>
        <w:pStyle w:val="Compact"/>
        <w:numPr>
          <w:ilvl w:val="0"/>
          <w:numId w:val="1001"/>
        </w:numPr>
      </w:pPr>
      <w:hyperlink w:anchor="X319e7dd9ed51f3769587ca0e2f2ad8ec12f706e">
        <w:r>
          <w:rPr>
            <w:rStyle w:val="Hyperlink"/>
          </w:rPr>
          <w:t xml:space="preserve">7. Observability &amp; compliance</w:t>
        </w:r>
      </w:hyperlink>
    </w:p>
    <w:p>
      <w:pPr>
        <w:pStyle w:val="Compact"/>
        <w:numPr>
          <w:ilvl w:val="0"/>
          <w:numId w:val="1001"/>
        </w:numPr>
      </w:pPr>
      <w:hyperlink w:anchor="Xfe66836bf2620a430f9b394e11d7a65e014d6b0">
        <w:r>
          <w:rPr>
            <w:rStyle w:val="Hyperlink"/>
          </w:rPr>
          <w:t xml:space="preserve">8. Marketplace/billing</w:t>
        </w:r>
      </w:hyperlink>
    </w:p>
    <w:p>
      <w:pPr>
        <w:pStyle w:val="Compact"/>
        <w:numPr>
          <w:ilvl w:val="0"/>
          <w:numId w:val="1001"/>
        </w:numPr>
      </w:pPr>
      <w:hyperlink w:anchor="Xd7fee6b6fb494d665bea605c304018a0b62f06c">
        <w:r>
          <w:rPr>
            <w:rStyle w:val="Hyperlink"/>
          </w:rPr>
          <w:t xml:space="preserve">9. Advanced networking</w:t>
        </w:r>
      </w:hyperlink>
    </w:p>
    <w:p>
      <w:pPr>
        <w:pStyle w:val="Compact"/>
        <w:numPr>
          <w:ilvl w:val="0"/>
          <w:numId w:val="1001"/>
        </w:numPr>
      </w:pPr>
      <w:hyperlink w:anchor="X24f48803d13b9f8fd43bb30ae8d5bc1fe43bb01">
        <w:r>
          <w:rPr>
            <w:rStyle w:val="Hyperlink"/>
          </w:rPr>
          <w:t xml:space="preserve">10. Phased task/subtask WBS</w:t>
        </w:r>
      </w:hyperlink>
    </w:p>
    <w:p>
      <w:pPr>
        <w:pStyle w:val="Compact"/>
        <w:numPr>
          <w:ilvl w:val="0"/>
          <w:numId w:val="1001"/>
        </w:numPr>
      </w:pPr>
      <w:hyperlink w:anchor="X3f8479b8ff354267442b4aae1195d2998eede8d">
        <w:r>
          <w:rPr>
            <w:rStyle w:val="Hyperlink"/>
          </w:rPr>
          <w:t xml:space="preserve">11. Decision register (operator input needed)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Phase 3 does not add new cryptography, new transports, or new client platforms — those are</w:t>
      </w:r>
      <w:r>
        <w:t xml:space="preserve"> </w:t>
      </w:r>
      <w:r>
        <w:t xml:space="preserve">Phase 0/1/2 concerns and stay untouched. Phase 3 adds the</w:t>
      </w:r>
      <w:r>
        <w:t xml:space="preserve"> </w:t>
      </w:r>
      <w:r>
        <w:rPr>
          <w:b/>
          <w:bCs/>
        </w:rPr>
        <w:t xml:space="preserve">organizational, identity,</w:t>
      </w:r>
      <w:r>
        <w:rPr>
          <w:b/>
          <w:bCs/>
        </w:rPr>
        <w:t xml:space="preserve"> </w:t>
      </w:r>
      <w:r>
        <w:rPr>
          <w:b/>
          <w:bCs/>
        </w:rPr>
        <w:t xml:space="preserve">scale, and commercial machinery</w:t>
      </w:r>
      <w:r>
        <w:t xml:space="preserve"> </w:t>
      </w:r>
      <w:r>
        <w:t xml:space="preserve">an MSP, a mid-size company, or a regulated enterprise needs</w:t>
      </w:r>
      <w:r>
        <w:t xml:space="preserve"> </w:t>
      </w:r>
      <w:r>
        <w:t xml:space="preserve">before they will run HelixVPN for hundreds or thousands of users across many sites. Concretely,</w:t>
      </w:r>
      <w:r>
        <w:t xml:space="preserve"> </w:t>
      </w:r>
      <w:r>
        <w:t xml:space="preserve">that machinery is: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layer above the existing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(§3) so an MSP/reseller can operate</w:t>
      </w:r>
      <w:r>
        <w:t xml:space="preserve"> </w:t>
      </w:r>
      <w:r>
        <w:t xml:space="preserve">several isolated tenants under one billing/reporting umbrella without weakening per-tenant</w:t>
      </w:r>
      <w:r>
        <w:t xml:space="preserve"> </w:t>
      </w:r>
      <w:r>
        <w:t xml:space="preserve">RLS isolation.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SSO</w:t>
      </w:r>
      <w:r>
        <w:t xml:space="preserve"> </w:t>
      </w:r>
      <w:r>
        <w:t xml:space="preserve">(SAML, alongside the OIDC already specified) +</w:t>
      </w:r>
      <w:r>
        <w:t xml:space="preserve"> </w:t>
      </w:r>
      <w:r>
        <w:rPr>
          <w:b/>
          <w:bCs/>
        </w:rPr>
        <w:t xml:space="preserve">SCIM</w:t>
      </w:r>
      <w:r>
        <w:t xml:space="preserve"> </w:t>
      </w:r>
      <w:r>
        <w:t xml:space="preserve">user-lifecycle</w:t>
      </w:r>
      <w:r>
        <w:t xml:space="preserve"> </w:t>
      </w:r>
      <w:r>
        <w:t xml:space="preserve">provisioning +</w:t>
      </w:r>
      <w:r>
        <w:t xml:space="preserve"> </w:t>
      </w:r>
      <w:r>
        <w:rPr>
          <w:b/>
          <w:bCs/>
        </w:rPr>
        <w:t xml:space="preserve">device-trust/posture</w:t>
      </w:r>
      <w:r>
        <w:t xml:space="preserve"> </w:t>
      </w:r>
      <w:r>
        <w:t xml:space="preserve">checks +</w:t>
      </w:r>
      <w:r>
        <w:t xml:space="preserve"> </w:t>
      </w:r>
      <w:r>
        <w:rPr>
          <w:b/>
          <w:bCs/>
        </w:rPr>
        <w:t xml:space="preserve">conditional access</w:t>
      </w:r>
      <w:r>
        <w:t xml:space="preserve"> </w:t>
      </w:r>
      <w:r>
        <w:t xml:space="preserve">(§4).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Multi-region HA</w:t>
      </w:r>
      <w:r>
        <w:t xml:space="preserve"> </w:t>
      </w:r>
      <w:r>
        <w:t xml:space="preserve">hardening of the control plane already designed to be stateless</w:t>
      </w:r>
      <w:r>
        <w:t xml:space="preserve"> </w:t>
      </w:r>
      <w:r>
        <w:t xml:space="preserve">(§5) — this section resolves the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items left open in</w:t>
      </w:r>
      <w:r>
        <w:t xml:space="preserve"> </w:t>
      </w:r>
      <w:r>
        <w:rPr>
          <w:rStyle w:val="VerbatimChar"/>
        </w:rPr>
        <w:t xml:space="preserve">mvp/final/v06-deploy/ha-and-multiregion.md</w:t>
      </w:r>
      <w:r>
        <w:t xml:space="preserve"> </w:t>
      </w:r>
      <w:r>
        <w:t xml:space="preserve">§9 (read-replica routing, NATS JetStream</w:t>
      </w:r>
      <w:r>
        <w:t xml:space="preserve"> </w:t>
      </w:r>
      <w:r>
        <w:t xml:space="preserve">replication factor).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advanced policy engine</w:t>
      </w:r>
      <w:r>
        <w:t xml:space="preserve"> </w:t>
      </w:r>
      <w:r>
        <w:t xml:space="preserve">— time/context-aware conditions, per-app split-tunnel</w:t>
      </w:r>
      <w:r>
        <w:t xml:space="preserve"> </w:t>
      </w:r>
      <w:r>
        <w:t xml:space="preserve">templates, destination/category-based egress controls, and SIEM export — built as an</w:t>
      </w:r>
      <w:r>
        <w:t xml:space="preserve"> </w:t>
      </w:r>
      <w:r>
        <w:t xml:space="preserve">additive extension of the existing pure/deterministic policy compiler (§6).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Compliance-grade observability</w:t>
      </w:r>
      <w:r>
        <w:t xml:space="preserve"> </w:t>
      </w:r>
      <w:r>
        <w:t xml:space="preserve">— tracing, tamper-evident audit retention, and an</w:t>
      </w:r>
      <w:r>
        <w:t xml:space="preserve"> </w:t>
      </w:r>
      <w:r>
        <w:t xml:space="preserve">explicit SOC2/ISO27001/GDPR control-mapping table that is honest about what is</w:t>
      </w:r>
      <w:r>
        <w:t xml:space="preserve"> </w:t>
      </w:r>
      <w:r>
        <w:t xml:space="preserve">mechanically enforced today versus what requires an external audit engagement (§7).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marketplace/billing</w:t>
      </w:r>
      <w:r>
        <w:t xml:space="preserve"> </w:t>
      </w:r>
      <w:r>
        <w:t xml:space="preserve">layer built directly on the existing aggregate-only usage-metering</w:t>
      </w:r>
      <w:r>
        <w:t xml:space="preserve"> </w:t>
      </w:r>
      <w:r>
        <w:t xml:space="preserve">schema (§8).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Advanced networking</w:t>
      </w:r>
      <w:r>
        <w:t xml:space="preserve"> </w:t>
      </w:r>
      <w:r>
        <w:t xml:space="preserve">— site-to-site mesh, dual-stack IPv6, QoS, and enterprise-grade</w:t>
      </w:r>
      <w:r>
        <w:t xml:space="preserve"> </w:t>
      </w:r>
      <w:r>
        <w:t xml:space="preserve">DPI-resistance hardening of the already-specified transport ladder (§9).</w:t>
      </w:r>
    </w:p>
    <w:p>
      <w:pPr>
        <w:pStyle w:val="FirstParagraph"/>
      </w:pPr>
      <w:r>
        <w:t xml:space="preserve">None of this is aspirational marketing language: every subsection below cites the concrete Go</w:t>
      </w:r>
      <w:r>
        <w:t xml:space="preserve"> </w:t>
      </w:r>
      <w:r>
        <w:t xml:space="preserve">interface, Postgres table, protobuf message, or event name it extends, and every WBS task in</w:t>
      </w:r>
      <w:r>
        <w:t xml:space="preserve"> </w:t>
      </w:r>
      <w:r>
        <w:t xml:space="preserve">§10 carries a falsifiable, evidence-based acceptance criterion in the same style as</w:t>
      </w:r>
      <w:r>
        <w:t xml:space="preserve"> </w:t>
      </w:r>
      <w:r>
        <w:rPr>
          <w:rStyle w:val="VerbatimChar"/>
        </w:rPr>
        <w:t xml:space="preserve">mvp/final/06-phase0-spike-wbs.md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f4c9b82302354c557a188e79374763f653ad6e1"/>
    <w:p>
      <w:pPr>
        <w:pStyle w:val="Heading2"/>
      </w:pPr>
      <w:r>
        <w:t xml:space="preserve">2. Architectural principles for Phase 3</w:t>
      </w:r>
    </w:p>
    <w:p>
      <w:pPr>
        <w:pStyle w:val="FirstParagraph"/>
      </w:pPr>
      <w:r>
        <w:t xml:space="preserve">Phase 3 inherits all 9 non-negotiable principles from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§2 /</w:t>
      </w:r>
      <w:r>
        <w:t xml:space="preserve"> </w:t>
      </w:r>
      <w:r>
        <w:rPr>
          <w:rStyle w:val="VerbatimChar"/>
        </w:rPr>
        <w:t xml:space="preserve">mvp/final/SPECIFICATION.md</w:t>
      </w:r>
      <w:r>
        <w:t xml:space="preserve"> </w:t>
      </w:r>
      <w:r>
        <w:t xml:space="preserve">§4 unchanged, and adds three enterprise-specific ones: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features are additive and optional.</w:t>
      </w:r>
      <w:r>
        <w:t xml:space="preserve"> </w:t>
      </w:r>
      <w:r>
        <w:t xml:space="preserve">A single self-hoster running one tenant</w:t>
      </w:r>
      <w:r>
        <w:t xml:space="preserve"> </w:t>
      </w:r>
      <w:r>
        <w:t xml:space="preserve">with no organization, no SSO, no billing must see</w:t>
      </w:r>
      <w:r>
        <w:t xml:space="preserve"> </w:t>
      </w:r>
      <w:r>
        <w:rPr>
          <w:b/>
          <w:bCs/>
        </w:rPr>
        <w:t xml:space="preserve">zero behavioral change</w:t>
      </w:r>
      <w:r>
        <w:t xml:space="preserve">. Every</w:t>
      </w:r>
      <w:r>
        <w:t xml:space="preserve"> </w:t>
      </w:r>
      <w:r>
        <w:t xml:space="preserve">mechanism in this document is opt-in per tenant/organization (mirrors the existing "billing</w:t>
      </w:r>
      <w:r>
        <w:t xml:space="preserve"> </w:t>
      </w:r>
      <w:r>
        <w:t xml:space="preserve">OFF by default" invariant from</w:t>
      </w:r>
      <w:r>
        <w:t xml:space="preserve"> </w:t>
      </w:r>
      <w:r>
        <w:rPr>
          <w:rStyle w:val="VerbatimChar"/>
        </w:rPr>
        <w:t xml:space="preserve">mvp/final/09-phase3-reach-wbs.md</w:t>
      </w:r>
      <w:r>
        <w:t xml:space="preserve"> </w:t>
      </w:r>
      <w:r>
        <w:rPr>
          <w:rStyle w:val="VerbatimChar"/>
        </w:rPr>
        <w:t xml:space="preserve">HVPN-P3-E24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Organizational hierarchy never weakens tenant isolation.</w:t>
      </w:r>
      <w:r>
        <w:t xml:space="preserve"> </w:t>
      </w:r>
      <w:r>
        <w:t xml:space="preserve">RLS stays keyed 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(unchanged, §3.1). An organization or a reseller admin gets</w:t>
      </w:r>
      <w:r>
        <w:t xml:space="preserve"> </w:t>
      </w:r>
      <w:r>
        <w:rPr>
          <w:b/>
          <w:bCs/>
        </w:rPr>
        <w:t xml:space="preserve">rollup visibility</w:t>
      </w:r>
      <w:r>
        <w:t xml:space="preserve"> </w:t>
      </w:r>
      <w:r>
        <w:t xml:space="preserve">(aggregate</w:t>
      </w:r>
      <w:r>
        <w:t xml:space="preserve"> </w:t>
      </w:r>
      <w:r>
        <w:t xml:space="preserve">usage, billing, compliance posture) across the tenants it owns — never row-level access to</w:t>
      </w:r>
      <w:r>
        <w:t xml:space="preserve"> </w:t>
      </w:r>
      <w:r>
        <w:t xml:space="preserve">another tenant's devices, policy, or audit log, unless a tenant's own admin explicitly grants</w:t>
      </w:r>
      <w:r>
        <w:t xml:space="preserve"> </w:t>
      </w:r>
      <w:r>
        <w:t xml:space="preserve">a cross-tenant policy relationship (site-to-site mesh, §9.1).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No-logging-as-code is a ceiling, not a starting point.</w:t>
      </w:r>
      <w:r>
        <w:t xml:space="preserve"> </w:t>
      </w:r>
      <w:r>
        <w:t xml:space="preserve">Every new observability,</w:t>
      </w:r>
      <w:r>
        <w:t xml:space="preserve"> </w:t>
      </w:r>
      <w:r>
        <w:t xml:space="preserve">audit-retention, DLP-style, or QoS mechanism in this document adds only</w:t>
      </w:r>
      <w:r>
        <w:t xml:space="preserve"> </w:t>
      </w:r>
      <w:r>
        <w:rPr>
          <w:b/>
          <w:bCs/>
        </w:rPr>
        <w:t xml:space="preserve">control-plane</w:t>
      </w:r>
      <w:r>
        <w:rPr>
          <w:b/>
          <w:bCs/>
        </w:rPr>
        <w:t xml:space="preserve"> </w:t>
      </w:r>
      <w:r>
        <w:rPr>
          <w:b/>
          <w:bCs/>
        </w:rPr>
        <w:t xml:space="preserve">metadata or aggregate counters</w:t>
      </w:r>
      <w:r>
        <w:t xml:space="preserve"> </w:t>
      </w:r>
      <w:r>
        <w:t xml:space="preserve">— the S6/S7 invariants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mvp/final/v05-security/audit-and-compliance.md</w:t>
      </w:r>
      <w:r>
        <w:t xml:space="preserve"> </w:t>
      </w:r>
      <w:r>
        <w:t xml:space="preserve">§0) are never relaxed to accommodate an</w:t>
      </w:r>
      <w:r>
        <w:t xml:space="preserve"> </w:t>
      </w:r>
      <w:r>
        <w:t xml:space="preserve">enterprise ask. Where an ask structurally requires per-flow content data, this document</w:t>
      </w:r>
      <w:r>
        <w:t xml:space="preserve"> </w:t>
      </w:r>
      <w:r>
        <w:t xml:space="preserve">states that plainly instead of quietly designing around the conflict (§6.3).</w:t>
      </w:r>
    </w:p>
    <w:p>
      <w:r>
        <w:pict>
          <v:rect style="width:0;height:1.5pt" o:hralign="center" o:hrstd="t" o:hr="t"/>
        </w:pict>
      </w:r>
    </w:p>
    <w:bookmarkEnd w:id="11"/>
    <w:bookmarkStart w:id="20" w:name="X8de767c8ff790aa3fa96d8041968f9b92e861e2"/>
    <w:p>
      <w:pPr>
        <w:pStyle w:val="Heading2"/>
      </w:pPr>
      <w:r>
        <w:t xml:space="preserve">3. Multi-tenancy &amp; organizations</w:t>
      </w:r>
    </w:p>
    <w:bookmarkStart w:id="15" w:name="X85ab60c382088ce78c1de3d360cc02e5b087767"/>
    <w:p>
      <w:pPr>
        <w:pStyle w:val="Heading3"/>
      </w:pPr>
      <w:r>
        <w:t xml:space="preserve">3.1 Data model —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 </w:t>
      </w:r>
      <w:r>
        <w:t xml:space="preserve">refining</w:t>
      </w:r>
      <w:r>
        <w:t xml:space="preserve"> </w:t>
      </w:r>
      <w:r>
        <w:rPr>
          <w:rStyle w:val="VerbatimChar"/>
        </w:rPr>
        <w:t xml:space="preserve">groups</w:t>
      </w:r>
    </w:p>
    <w:p>
      <w:pPr>
        <w:pStyle w:val="FirstParagraph"/>
      </w:pPr>
      <w:r>
        <w:t xml:space="preserve">The Phase-1 schema already has tenant-level multi-tenancy with RLS</w:t>
      </w:r>
      <w:r>
        <w:t xml:space="preserve"> </w:t>
      </w:r>
      <w:r>
        <w:t xml:space="preserve">(</w:t>
      </w:r>
      <w:r>
        <w:rPr>
          <w:rStyle w:val="VerbatimChar"/>
        </w:rPr>
        <w:t xml:space="preserve">mvp/final/04_VPN_CLD/HelixVPN-Architecture-Refined.md</w:t>
      </w:r>
      <w:r>
        <w:t xml:space="preserve"> </w:t>
      </w:r>
      <w:r>
        <w:t xml:space="preserve">§4.5; deepened in</w:t>
      </w:r>
      <w:r>
        <w:t xml:space="preserve"> </w:t>
      </w:r>
      <w:r>
        <w:rPr>
          <w:rStyle w:val="VerbatimChar"/>
        </w:rPr>
        <w:t xml:space="preserve">v03-control-plane/data-model-ddl.md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created_at)</w:t>
      </w:r>
      <w:r>
        <w:br/>
      </w:r>
      <w:r>
        <w:rPr>
          <w:rStyle w:val="NormalTok"/>
        </w:rPr>
        <w:t xml:space="preserve">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email, oidc_sub,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user_id, kind, pubkey, overlay_ip, last_seen, enrolled_at, revoked_at)</w:t>
      </w:r>
      <w:r>
        <w:br/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tenant_id, name)  group_members(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device_id)</w:t>
      </w:r>
    </w:p>
    <w:p>
      <w:pPr>
        <w:pStyle w:val="FirstParagraph"/>
      </w:pPr>
      <w:r>
        <w:rPr>
          <w:rStyle w:val="VerbatimChar"/>
        </w:rPr>
        <w:t xml:space="preserve">tenant</w:t>
      </w:r>
      <w:r>
        <w:t xml:space="preserve"> </w:t>
      </w:r>
      <w:r>
        <w:t xml:space="preserve">is, and remains, the</w:t>
      </w:r>
      <w:r>
        <w:t xml:space="preserve"> </w:t>
      </w:r>
      <w:r>
        <w:rPr>
          <w:b/>
          <w:bCs/>
        </w:rPr>
        <w:t xml:space="preserve">RLS isolation boundary</w:t>
      </w:r>
      <w:r>
        <w:t xml:space="preserve"> </w:t>
      </w:r>
      <w:r>
        <w:t xml:space="preserve">— that does not change. What Phase 3</w:t>
      </w:r>
      <w:r>
        <w:t xml:space="preserve"> </w:t>
      </w:r>
      <w:r>
        <w:t xml:space="preserve">adds is a purely</w:t>
      </w:r>
      <w:r>
        <w:t xml:space="preserve"> </w:t>
      </w:r>
      <w:r>
        <w:rPr>
          <w:b/>
          <w:bCs/>
        </w:rPr>
        <w:t xml:space="preserve">organizational/billing grouping layer above it</w:t>
      </w:r>
      <w:r>
        <w:t xml:space="preserve">, for the MSP/reseller and</w:t>
      </w:r>
      <w:r>
        <w:t xml:space="preserve"> </w:t>
      </w:r>
      <w:r>
        <w:t xml:space="preserve">multi-brand-enterprise case where one commercial entity legitimately owns several isolated</w:t>
      </w:r>
      <w:r>
        <w:t xml:space="preserve"> </w:t>
      </w:r>
      <w:r>
        <w:t xml:space="preserve">tenants (e.g. one tenant per client network, or per business unit, that must never share a</w:t>
      </w:r>
      <w:r>
        <w:t xml:space="preserve"> </w:t>
      </w:r>
      <w:r>
        <w:t xml:space="preserve">policy or device graph):</w:t>
      </w:r>
    </w:p>
    <w:p>
      <w:pPr>
        <w:pStyle w:val="SourceCode"/>
      </w:pPr>
      <w:r>
        <w:rPr>
          <w:rStyle w:val="CommentTok"/>
        </w:rPr>
        <w:t xml:space="preserve">-- Phase-3 addition. Additive: no existing column changes type or meaning.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reseller/MSP hierarchy (§8.4)</w:t>
      </w:r>
      <w:r>
        <w:br/>
      </w:r>
      <w:r>
        <w:rPr>
          <w:rStyle w:val="NormalTok"/>
        </w:rPr>
        <w:t xml:space="preserve">  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'reseller'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'sub_org'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tenants gain an optional owning organization. NULL org_id == today's behaviour</w:t>
      </w:r>
      <w:r>
        <w:br/>
      </w:r>
      <w:r>
        <w:rPr>
          <w:rStyle w:val="CommentTok"/>
        </w:rPr>
        <w:t xml:space="preserve">-- (a lone self-hosted tenant with no org layer at all) -- principle 10.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teams promote `groups` to a first-class, nestable structure used by both</w:t>
      </w:r>
      <w:r>
        <w:br/>
      </w:r>
      <w:r>
        <w:rPr>
          <w:rStyle w:val="CommentTok"/>
        </w:rPr>
        <w:t xml:space="preserve">-- policy `src_group` resolution (unchanged, group_members still authoritative)</w:t>
      </w:r>
      <w:r>
        <w:br/>
      </w:r>
      <w:r>
        <w:rPr>
          <w:rStyle w:val="CommentTok"/>
        </w:rPr>
        <w:t xml:space="preserve">-- and the new permission-scoped RBAC (§3.5).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parent_team_id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nesting, e.g. "Engineering" &gt; "SRE"</w:t>
      </w:r>
      <w:r>
        <w:br/>
      </w:r>
      <w:r>
        <w:rPr>
          <w:rStyle w:val="NormalTok"/>
        </w:rPr>
        <w:t xml:space="preserve">  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team_members (</w:t>
      </w:r>
      <w:r>
        <w:br/>
      </w:r>
      <w:r>
        <w:rPr>
          <w:rStyle w:val="NormalTok"/>
        </w:rPr>
        <w:t xml:space="preserve">    team_id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(team_id, user_id)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`groups`/`group_members` (device-reachability grouping, consumed by the policy</w:t>
      </w:r>
      <w:r>
        <w:br/>
      </w:r>
      <w:r>
        <w:rPr>
          <w:rStyle w:val="CommentTok"/>
        </w:rPr>
        <w:t xml:space="preserve">-- compiler's TopologySnapshot) are UNCHANGED and remain the policy-graph primitive;</w:t>
      </w:r>
      <w:r>
        <w:br/>
      </w:r>
      <w:r>
        <w:rPr>
          <w:rStyle w:val="CommentTok"/>
        </w:rPr>
        <w:t xml:space="preserve">-- `teams` is the human-org-chart primitive RBAC binds to. A migration MAY populate</w:t>
      </w:r>
      <w:r>
        <w:br/>
      </w:r>
      <w:r>
        <w:rPr>
          <w:rStyle w:val="CommentTok"/>
        </w:rPr>
        <w:t xml:space="preserve">-- one team per existing group 1:1 for tenants that want them to track, but the</w:t>
      </w:r>
      <w:r>
        <w:br/>
      </w:r>
      <w:r>
        <w:rPr>
          <w:rStyle w:val="CommentTok"/>
        </w:rPr>
        <w:t xml:space="preserve">-- compiler never reads `teams` directly (P6/P8 of svc-policy.md are preserved).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</w:t>
      </w:r>
      <w:r>
        <w:rPr>
          <w:rStyle w:val="CommentTok"/>
        </w:rPr>
        <w:t xml:space="preserve">-- org-scoped visibility, not tenant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teams 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teams         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</w:t>
      </w:r>
      <w:r>
        <w:rPr>
          <w:rStyle w:val="CommentTok"/>
        </w:rPr>
        <w:t xml:space="preserve">-- tenant_id-keyed, same policy as `groups`</w:t>
      </w:r>
    </w:p>
    <w:p>
      <w:pPr>
        <w:pStyle w:val="FirstParagraph"/>
      </w:pPr>
      <w:r>
        <w:drawing>
          <wp:inline>
            <wp:extent cx="5334000" cy="3170464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tuhsSqld4N/img/diagram_001_fbcb7523223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Xd74211e447dc79e72294172954aab9780cbe2ce"/>
    <w:p>
      <w:pPr>
        <w:pStyle w:val="Heading3"/>
      </w:pPr>
      <w:r>
        <w:t xml:space="preserve">3.2 Per-org policy isolation</w:t>
      </w:r>
    </w:p>
    <w:p>
      <w:pPr>
        <w:pStyle w:val="FirstParagraph"/>
      </w:pPr>
      <w:r>
        <w:t xml:space="preserve">The policy compiler's governing invariant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§0.1 —</w:t>
      </w:r>
      <w:r>
        <w:t xml:space="preserve"> </w:t>
      </w:r>
      <w:r>
        <w:t xml:space="preserve">"every DB touch runs through</w:t>
      </w:r>
      <w:r>
        <w:t xml:space="preserve"> </w:t>
      </w:r>
      <w:r>
        <w:rPr>
          <w:rStyle w:val="VerbatimChar"/>
        </w:rPr>
        <w:t xml:space="preserve">store.WithTenant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") is unchanged</w:t>
      </w:r>
      <w:r>
        <w:t xml:space="preserve"> </w:t>
      </w:r>
      <w:r>
        <w:t xml:space="preserve">and is the mechanism that makes cross-tenant policy leakage structurally impossible even for an</w:t>
      </w:r>
      <w:r>
        <w:t xml:space="preserve"> </w:t>
      </w:r>
      <w:r>
        <w:t xml:space="preserve">organization-level admin. An org-admin's Console session carries an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claim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compute rollup views (§3.4, §8); every policy read/write still runs through the existing</w:t>
      </w:r>
      <w:r>
        <w:t xml:space="preserve"> </w:t>
      </w:r>
      <w:r>
        <w:rPr>
          <w:rStyle w:val="VerbatimChar"/>
        </w:rPr>
        <w:t xml:space="preserve">Principal{TenantID, Role}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§1.2) unmodified. Explicit</w:t>
      </w:r>
      <w:r>
        <w:t xml:space="preserve"> </w:t>
      </w:r>
      <w:r>
        <w:t xml:space="preserve">cross-tenant reachability (two tenants under one org wanting to talk to each other)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organization feature — it is the site-to-site mesh in §9.1, which is an explicit, auditable,</w:t>
      </w:r>
      <w:r>
        <w:t xml:space="preserve"> </w:t>
      </w:r>
      <w:r>
        <w:t xml:space="preserve">per-policy grant between two named tenants, never an implicit consequence of shared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.</w:t>
      </w:r>
    </w:p>
    <w:bookmarkEnd w:id="16"/>
    <w:bookmarkStart w:id="17" w:name="Xe50091d0c14bed1947c92be05929bd59a286876"/>
    <w:p>
      <w:pPr>
        <w:pStyle w:val="Heading3"/>
      </w:pPr>
      <w:r>
        <w:t xml:space="preserve">3.3 Delegated admin roles (RBAC)</w:t>
      </w:r>
    </w:p>
    <w:p>
      <w:pPr>
        <w:pStyle w:val="FirstParagraph"/>
      </w:pPr>
      <w:r>
        <w:t xml:space="preserve">The Phase-1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member | operator | 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§1.2)</w:t>
      </w:r>
      <w:r>
        <w:t xml:space="preserve"> </w:t>
      </w:r>
      <w:r>
        <w:t xml:space="preserve">is too coarse for enterprise delegation (a billing contact should not be able to revoke devices;</w:t>
      </w:r>
      <w:r>
        <w:t xml:space="preserve"> </w:t>
      </w:r>
      <w:r>
        <w:t xml:space="preserve">a security auditor should read audit logs but change nothing). Phase 3 replaces the fixed enum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permission-based RBAC</w:t>
      </w:r>
      <w:r>
        <w:t xml:space="preserve"> </w:t>
      </w:r>
      <w:r>
        <w:t xml:space="preserve">that keeps the old 3 roles as seeded defaults so nothing already</w:t>
      </w:r>
      <w:r>
        <w:t xml:space="preserve"> </w:t>
      </w:r>
      <w:r>
        <w:t xml:space="preserve">built breaks: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== system-defined built-in role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'owner','admin','operator','member','auditor','billing_admin', or custom</w:t>
      </w:r>
      <w:r>
        <w:br/>
      </w:r>
      <w:r>
        <w:rPr>
          <w:rStyle w:val="NormalTok"/>
        </w:rPr>
        <w:t xml:space="preserve">    permissions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e.g. ["device.revoke","policy.write","audit.read","billing.read"]</w:t>
      </w:r>
      <w:r>
        <w:br/>
      </w:r>
      <w:r>
        <w:rPr>
          <w:rStyle w:val="NormalTok"/>
        </w:rPr>
        <w:t xml:space="preserve">    is_builtin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role_bindings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principal_id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users.id (device principals keep using policy, not RBAC)</w:t>
      </w:r>
      <w:r>
        <w:br/>
      </w:r>
      <w:r>
        <w:rPr>
          <w:rStyle w:val="NormalTok"/>
        </w:rPr>
        <w:t xml:space="preserve">    role_id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scope_type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(scope_type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'tenant'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scope_id   uuid,                            </w:t>
      </w:r>
      <w:r>
        <w:rPr>
          <w:rStyle w:val="CommentTok"/>
        </w:rPr>
        <w:t xml:space="preserve">-- team_id or a network/connector-group id; NULL for scope_type='tenant'</w:t>
      </w:r>
      <w:r>
        <w:br/>
      </w:r>
      <w:r>
        <w:rPr>
          <w:rStyle w:val="NormalTok"/>
        </w:rPr>
        <w:t xml:space="preserve">    granted_by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granted_at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role_bindings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role_bindings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pPr>
        <w:pStyle w:val="SourceCode"/>
      </w:pPr>
      <w:r>
        <w:rPr>
          <w:rStyle w:val="CommentTok"/>
        </w:rPr>
        <w:t xml:space="preserve">// internal/identity/rbac.go — extends identity.Authorize (svc-identity.md §1.1), pure, no I/O</w:t>
      </w:r>
      <w:r>
        <w:br/>
      </w:r>
      <w:r>
        <w:rPr>
          <w:rStyle w:val="CommentTok"/>
        </w:rPr>
        <w:t xml:space="preserve">// beyond the pre-loaded binding set already fetched at Authenticate() time.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"device.revoke", "policy.write", "audit.read", "billing.read", ...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Principal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 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 Scope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Union of every role_binding whose scope covers `scope` (tenant-wide binding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covers every team/network scope beneath it). Built-in roles pre-seed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OLD 3-value enum's exact permission sets so a Phase-1 tenant with no RBAC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rows configured behaves byte-identically to before (principle 10).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Seeded built-in roles preserve backward compatibility exactly: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= every permission,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= every permission except</w:t>
      </w:r>
      <w:r>
        <w:t xml:space="preserve"> </w:t>
      </w:r>
      <w:r>
        <w:rPr>
          <w:rStyle w:val="VerbatimChar"/>
        </w:rPr>
        <w:t xml:space="preserve">user.role.change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org.*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= read-only on</w:t>
      </w:r>
      <w:r>
        <w:t xml:space="preserve"> </w:t>
      </w:r>
      <w:r>
        <w:t xml:space="preserve">own devices. New enterprise-only built-ins: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 </w:t>
      </w:r>
      <w:r>
        <w:t xml:space="preserve">(audit.read + billing.read only, no</w:t>
      </w:r>
      <w:r>
        <w:t xml:space="preserve"> </w:t>
      </w:r>
      <w:r>
        <w:t xml:space="preserve">write permission of any kind — the compliance-review persona) and</w:t>
      </w:r>
      <w:r>
        <w:t xml:space="preserve"> </w:t>
      </w:r>
      <w:r>
        <w:rPr>
          <w:rStyle w:val="VerbatimChar"/>
        </w:rPr>
        <w:t xml:space="preserve">billing_admin</w:t>
      </w:r>
      <w:r>
        <w:t xml:space="preserve"> </w:t>
      </w:r>
      <w:r>
        <w:t xml:space="preserve">(billing.read + billing.write, no device/policy permission).</w:t>
      </w:r>
    </w:p>
    <w:bookmarkEnd w:id="17"/>
    <w:bookmarkStart w:id="18" w:name="X5a627c64170f391081cbb1c66de9da68bca0160"/>
    <w:p>
      <w:pPr>
        <w:pStyle w:val="Heading3"/>
      </w:pPr>
      <w:r>
        <w:t xml:space="preserve">3.4 Per-org billing/usage metering</w:t>
      </w:r>
    </w:p>
    <w:p>
      <w:pPr>
        <w:pStyle w:val="FirstParagraph"/>
      </w:pPr>
      <w:r>
        <w:t xml:space="preserve">Builds directly on the existing aggregate-only</w:t>
      </w:r>
      <w:r>
        <w:t xml:space="preserve"> </w:t>
      </w:r>
      <w:r>
        <w:rPr>
          <w:rStyle w:val="VerbatimChar"/>
        </w:rPr>
        <w:t xml:space="preserve">usage_counter</w:t>
      </w:r>
      <w:r>
        <w:t xml:space="preserve"> </w:t>
      </w:r>
      <w:r>
        <w:t xml:space="preserve">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mvp/final/09-phase3-reach-wbs.md</w:t>
      </w:r>
      <w:r>
        <w:t xml:space="preserve"> </w:t>
      </w:r>
      <w:r>
        <w:rPr>
          <w:rStyle w:val="VerbatimChar"/>
        </w:rPr>
        <w:t xml:space="preserve">HVPN-P3-240</w:t>
      </w:r>
      <w:r>
        <w:t xml:space="preserve"> </w:t>
      </w:r>
      <w:r>
        <w:t xml:space="preserve">— day-granular,</w:t>
      </w:r>
      <w:r>
        <w:t xml:space="preserve"> </w:t>
      </w:r>
      <w:r>
        <w:rPr>
          <w:rStyle w:val="VerbatimChar"/>
        </w:rPr>
        <w:t xml:space="preserve">(tenant_id, device_id, day)</w:t>
      </w:r>
      <w:r>
        <w:t xml:space="preserve">,</w:t>
      </w:r>
      <w:r>
        <w:t xml:space="preserve"> </w:t>
      </w:r>
      <w:r>
        <w:rPr>
          <w:rStyle w:val="VerbatimChar"/>
        </w:rPr>
        <w:t xml:space="preserve">rx_bytes</w:t>
      </w:r>
      <w:r>
        <w:t xml:space="preserve">/</w:t>
      </w:r>
      <w:r>
        <w:rPr>
          <w:rStyle w:val="VerbatimChar"/>
        </w:rPr>
        <w:t xml:space="preserve">tx_bytes</w:t>
      </w:r>
      <w:r>
        <w:t xml:space="preserve"> </w:t>
      </w:r>
      <w:r>
        <w:t xml:space="preserve">only,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src/dst/port/flow columns, the no-log CI lint already rejects</w:t>
      </w:r>
      <w:r>
        <w:t xml:space="preserve"> </w:t>
      </w:r>
      <w:r>
        <w:t xml:space="preserve">any table shaped like a traffic log). Phase 3 adds a pure</w:t>
      </w:r>
      <w:r>
        <w:t xml:space="preserve"> </w:t>
      </w:r>
      <w:r>
        <w:rPr>
          <w:b/>
          <w:bCs/>
        </w:rPr>
        <w:t xml:space="preserve">rollup view</w:t>
      </w:r>
      <w:r>
        <w:t xml:space="preserve">, no new</w:t>
      </w:r>
      <w:r>
        <w:t xml:space="preserve"> </w:t>
      </w:r>
      <w:r>
        <w:t xml:space="preserve">traffic-adjacent column:</w:t>
      </w:r>
    </w:p>
    <w:p>
      <w:pPr>
        <w:pStyle w:val="SourceCode"/>
      </w:pPr>
      <w:r>
        <w:rPr>
          <w:rStyle w:val="CommentTok"/>
        </w:rPr>
        <w:t xml:space="preserve">-- Read-only aggregation across every tenant an org owns. Never joins to anything</w:t>
      </w:r>
      <w:r>
        <w:br/>
      </w:r>
      <w:r>
        <w:rPr>
          <w:rStyle w:val="CommentTok"/>
        </w:rPr>
        <w:t xml:space="preserve">-- finer-grained than the existing day-bucket; still no per-connection data exists</w:t>
      </w:r>
      <w:r>
        <w:br/>
      </w:r>
      <w:r>
        <w:rPr>
          <w:rStyle w:val="CommentTok"/>
        </w:rPr>
        <w:t xml:space="preserve">-- anywhere in the chain (S6 preserved).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org_usage_rollup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t.org_id, uc.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(uc.rx_bytes)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rx_bytes,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(uc.tx_bytes)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tx_bytes,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uc.device_id)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active_devices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usage_counter uc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tenants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uc.tenant_id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t.org_id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t.org_id, uc.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bookmarkEnd w:id="18"/>
    <w:bookmarkStart w:id="19" w:name="X98baf92ab256fe36ff6fde418c85d81c19b2589"/>
    <w:p>
      <w:pPr>
        <w:pStyle w:val="Heading3"/>
      </w:pPr>
      <w:r>
        <w:t xml:space="preserve">3.5 SCIM provisioning</w:t>
      </w:r>
    </w:p>
    <w:p>
      <w:pPr>
        <w:pStyle w:val="FirstParagraph"/>
      </w:pPr>
      <w:r>
        <w:t xml:space="preserve">A SCIM 2.0 server (</w:t>
      </w:r>
      <w:r>
        <w:rPr>
          <w:rStyle w:val="VerbatimChar"/>
        </w:rPr>
        <w:t xml:space="preserve">/scim/v2/Users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/scim/v2/Groups</w:t>
      </w:r>
      <w:r>
        <w:t xml:space="preserve">) is a thin adapter in front of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identity.Identity</w:t>
      </w:r>
      <w:r>
        <w:t xml:space="preserve"> </w:t>
      </w:r>
      <w:r>
        <w:t xml:space="preserve">interface — it introduces</w:t>
      </w:r>
      <w:r>
        <w:t xml:space="preserve"> </w:t>
      </w:r>
      <w:r>
        <w:rPr>
          <w:b/>
          <w:bCs/>
        </w:rPr>
        <w:t xml:space="preserve">no new identity model</w:t>
      </w:r>
      <w:r>
        <w:t xml:space="preserve">, only a</w:t>
      </w:r>
      <w:r>
        <w:t xml:space="preserve"> </w:t>
      </w:r>
      <w:r>
        <w:t xml:space="preserve">standards-compliant lifecycle wire format:</w:t>
      </w:r>
    </w:p>
    <w:p>
      <w:pPr>
        <w:pStyle w:val="SourceCode"/>
      </w:pPr>
      <w:r>
        <w:rPr>
          <w:rStyle w:val="CommentTok"/>
        </w:rPr>
        <w:t xml:space="preserve">// internal/identity/scim/handler.go — SCIM 2.0 (RFC 7643/7644) adapter.</w:t>
      </w:r>
      <w:r>
        <w:br/>
      </w:r>
      <w:r>
        <w:rPr>
          <w:rStyle w:val="CommentTok"/>
        </w:rPr>
        <w:t xml:space="preserve">// Every SCIM operation maps 1:1 onto an EXISTING identity.Identity method; SCIM never</w:t>
      </w:r>
      <w:r>
        <w:br/>
      </w:r>
      <w:r>
        <w:rPr>
          <w:rStyle w:val="CommentTok"/>
        </w:rPr>
        <w:t xml:space="preserve">// bypasses Authorize() or the audit path.</w:t>
      </w:r>
      <w:r>
        <w:br/>
      </w:r>
      <w:r>
        <w:rPr>
          <w:rStyle w:val="CommentTok"/>
        </w:rPr>
        <w:t xml:space="preserve">//   POST   /scim/v2/Users        -&gt; identity.CompleteOIDC-equivalent JIT-provision path,</w:t>
      </w:r>
      <w:r>
        <w:br/>
      </w:r>
      <w:r>
        <w:rPr>
          <w:rStyle w:val="CommentTok"/>
        </w:rPr>
        <w:t xml:space="preserve">//                                    but IdP-push rather than user-initiated login</w:t>
      </w:r>
      <w:r>
        <w:br/>
      </w:r>
      <w:r>
        <w:rPr>
          <w:rStyle w:val="CommentTok"/>
        </w:rPr>
        <w:t xml:space="preserve">//   PATCH  /scim/v2/Users/{id}   -&gt; identity.SuspendUser (active:false) / role change</w:t>
      </w:r>
      <w:r>
        <w:br/>
      </w:r>
      <w:r>
        <w:rPr>
          <w:rStyle w:val="CommentTok"/>
        </w:rPr>
        <w:t xml:space="preserve">//   DELETE /scim/v2/Users/{id}   -&gt; identity.SuspendUser (SCIM "deprovision" = suspend,</w:t>
      </w:r>
      <w:r>
        <w:br/>
      </w:r>
      <w:r>
        <w:rPr>
          <w:rStyle w:val="CommentTok"/>
        </w:rPr>
        <w:t xml:space="preserve">//                                    never a hard delete -- preserves audit trail, S7)</w:t>
      </w:r>
      <w:r>
        <w:br/>
      </w:r>
      <w:r>
        <w:rPr>
          <w:rStyle w:val="CommentTok"/>
        </w:rPr>
        <w:t xml:space="preserve">//   POST   /scim/v2/Groups       -&gt; teams.Create + team_members sync from SCIM group members</w:t>
      </w:r>
    </w:p>
    <w:p>
      <w:pPr>
        <w:pStyle w:val="FirstParagraph"/>
      </w:pPr>
      <w:r>
        <w:t xml:space="preserve">Every SCIM-driven mutation emits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user.created</w:t>
      </w:r>
      <w:r>
        <w:t xml:space="preserve">/</w:t>
      </w:r>
      <w:r>
        <w:rPr>
          <w:rStyle w:val="VerbatimChar"/>
        </w:rPr>
        <w:t xml:space="preserve">user.suspended</w:t>
      </w:r>
      <w:r>
        <w:t xml:space="preserve">/</w:t>
      </w:r>
      <w:r>
        <w:rPr>
          <w:rStyle w:val="VerbatimChar"/>
        </w:rPr>
        <w:t xml:space="preserve">user.role.changed</w:t>
      </w:r>
      <w:r>
        <w:t xml:space="preserve"> </w:t>
      </w:r>
      <w:r>
        <w:t xml:space="preserve">events already in the taxonomy (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§4.3), so the</w:t>
      </w:r>
      <w:r>
        <w:t xml:space="preserve"> </w:t>
      </w:r>
      <w:r>
        <w:t xml:space="preserve">coordinator's revoke-cascade (Phase-1 MVP DoD criterion 6: revoke enforced &lt; 1 s) applies to a</w:t>
      </w:r>
      <w:r>
        <w:t xml:space="preserve"> </w:t>
      </w:r>
      <w:r>
        <w:t xml:space="preserve">SCIM-deactivated user identically to a Console-driven suspend — enterprise IdP-triggered</w:t>
      </w:r>
      <w:r>
        <w:t xml:space="preserve"> </w:t>
      </w:r>
      <w:r>
        <w:t xml:space="preserve">offboarding gets the same sub-second edge enforcement as a manual admin action, for free.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5a079ccdb9d7d820dfaf39a74aa77d69c773c9f"/>
    <w:p>
      <w:pPr>
        <w:pStyle w:val="Heading2"/>
      </w:pPr>
      <w:r>
        <w:t xml:space="preserve">4. Enterprise identity</w:t>
      </w:r>
    </w:p>
    <w:bookmarkStart w:id="21" w:name="X28b69386d7ee01c6beff0761327943bbdc763c2"/>
    <w:p>
      <w:pPr>
        <w:pStyle w:val="Heading3"/>
      </w:pPr>
      <w:r>
        <w:t xml:space="preserve">4.1 SAML 2.0 SSO alongside existing OIDC</w:t>
      </w:r>
    </w:p>
    <w:p>
      <w:pPr>
        <w:pStyle w:val="FirstParagraph"/>
      </w:pPr>
      <w:r>
        <w:rPr>
          <w:rStyle w:val="VerbatimChar"/>
        </w:rPr>
        <w:t xml:space="preserve">identity</w:t>
      </w:r>
      <w:r>
        <w:t xml:space="preserve"> </w:t>
      </w:r>
      <w:r>
        <w:t xml:space="preserve">already speaks OIDC to any IdP (Keycloak, Authentik, or a generic OIDC provider) via</w:t>
      </w:r>
      <w:r>
        <w:t xml:space="preserve"> </w:t>
      </w:r>
      <w:r>
        <w:rPr>
          <w:rStyle w:val="VerbatimChar"/>
        </w:rPr>
        <w:t xml:space="preserve">BeginOIDC</w:t>
      </w:r>
      <w:r>
        <w:t xml:space="preserve">/</w:t>
      </w:r>
      <w:r>
        <w:rPr>
          <w:rStyle w:val="VerbatimChar"/>
        </w:rPr>
        <w:t xml:space="preserve">CompleteOIDC</w:t>
      </w:r>
      <w:r>
        <w:t xml:space="preserve"> </w:t>
      </w:r>
      <w:r>
        <w:t xml:space="preserve">with JIT (just-in-time) user provisioning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v03-control-plane/svc-identity.md</w:t>
      </w:r>
      <w:r>
        <w:t xml:space="preserve"> </w:t>
      </w:r>
      <w:r>
        <w:t xml:space="preserve">§1.1). Many enterprise IdPs (Okta, Azure AD/Entra ID, Ping,</w:t>
      </w:r>
      <w:r>
        <w:t xml:space="preserve"> </w:t>
      </w:r>
      <w:r>
        <w:t xml:space="preserve">ADFS) are SAML-first for VPN/SSO integrations. Phase 3 adds a second provider type using the</w:t>
      </w:r>
      <w:r>
        <w:t xml:space="preserve"> </w:t>
      </w:r>
      <w:r>
        <w:t xml:space="preserve">identical JIT-provisioning shape:</w:t>
      </w:r>
    </w:p>
    <w:p>
      <w:pPr>
        <w:pStyle w:val="SourceCode"/>
      </w:pPr>
      <w:r>
        <w:rPr>
          <w:rStyle w:val="CommentTok"/>
        </w:rPr>
        <w:t xml:space="preserve">// internal/identity/iface.go — additive methods, same package, same Principal/User types.</w:t>
      </w:r>
      <w:r>
        <w:br/>
      </w:r>
      <w:r>
        <w:rPr>
          <w:rStyle w:val="NormalTok"/>
        </w:rPr>
        <w:t xml:space="preserve">BeginSAML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SAMLAuthnRequest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CompleteSAML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SAMLResponse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validates signed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assertion, maps NameID + attribute statements -&gt; User (JIT, same as CompleteOIDC),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reuses the SAME `providers` table with `protocol='saml'|'oidc'` discriminator.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identity_providers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protocol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'oidc'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(protocol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'oidc'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'saml'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identity_providers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saml_metadata_xml text; </w:t>
      </w:r>
      <w:r>
        <w:rPr>
          <w:rStyle w:val="CommentTok"/>
        </w:rPr>
        <w:t xml:space="preserve">-- IdP metadata (cert, ACS binding)</w:t>
      </w:r>
    </w:p>
    <w:bookmarkEnd w:id="21"/>
    <w:bookmarkStart w:id="22" w:name="Xa0304f61ef73cafaef2a2a76efcfeea1f70453d"/>
    <w:p>
      <w:pPr>
        <w:pStyle w:val="Heading3"/>
      </w:pPr>
      <w:r>
        <w:t xml:space="preserve">4.2 Device-trust / posture checks before connect</w:t>
      </w:r>
    </w:p>
    <w:p>
      <w:pPr>
        <w:pStyle w:val="FirstParagraph"/>
      </w:pPr>
      <w:r>
        <w:t xml:space="preserve">Extends the existing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 (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§1.1) and the periodic status the client</w:t>
      </w:r>
      <w:r>
        <w:t xml:space="preserve"> </w:t>
      </w:r>
      <w:r>
        <w:t xml:space="preserve">core already reports. A device posture attestation is collected at enroll time and refreshed on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reconnect:</w:t>
      </w:r>
    </w:p>
    <w:p>
      <w:pPr>
        <w:pStyle w:val="SourceCode"/>
      </w:pPr>
      <w:r>
        <w:rPr>
          <w:rStyle w:val="CommentTok"/>
        </w:rPr>
        <w:t xml:space="preserve">// helix.coordinator.v1 — additive field on the existing WatchRequest (02-control-plane.md §4, "Agent contract — protobuf" — corrected 2026-07-04, was mis-cited as §7.2 which is the policy-compiler section)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DevicePosture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disk_encrypted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screen_lock_enabled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os_patch_level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free-form per-OS version string, compared to a tenant policy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edac_agent_present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EDR/MDM agent heartbeat present (platform-specific check)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jailbroken_or_rooted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best-effort per-platform detection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WatchRequest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known_version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DevicePosture posture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Phase-3 addition; absent (zero-value) on Phase-1/2 agents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tenant-configured</w:t>
      </w:r>
      <w:r>
        <w:t xml:space="preserve"> </w:t>
      </w:r>
      <w:r>
        <w:rPr>
          <w:b/>
          <w:bCs/>
        </w:rPr>
        <w:t xml:space="preserve">posture policy</w:t>
      </w:r>
      <w:r>
        <w:t xml:space="preserve"> </w:t>
      </w:r>
      <w:r>
        <w:t xml:space="preserve">(a new, small, tenant-scoped table, evaluated by the</w:t>
      </w:r>
      <w:r>
        <w:t xml:space="preserve"> </w:t>
      </w:r>
      <w:r>
        <w:t xml:space="preserve">coordinator before it grants a network map) classifies posture into</w:t>
      </w:r>
      <w:r>
        <w:t xml:space="preserve"> </w:t>
      </w:r>
      <w:r>
        <w:rPr>
          <w:rStyle w:val="VerbatimChar"/>
        </w:rPr>
        <w:t xml:space="preserve">compliant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remediation_only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denied</w:t>
      </w:r>
      <w:r>
        <w:t xml:space="preserve">. A</w:t>
      </w:r>
      <w:r>
        <w:t xml:space="preserve"> </w:t>
      </w:r>
      <w:r>
        <w:rPr>
          <w:rStyle w:val="VerbatimChar"/>
        </w:rPr>
        <w:t xml:space="preserve">remediation_only</w:t>
      </w:r>
      <w:r>
        <w:t xml:space="preserve"> </w:t>
      </w:r>
      <w:r>
        <w:t xml:space="preserve">device receives a network map restricted to a</w:t>
      </w:r>
      <w:r>
        <w:t xml:space="preserve"> </w:t>
      </w:r>
      <w:r>
        <w:t xml:space="preserve">single remediation host (e.g. an internal patch-management portal) rather than the full</w:t>
      </w:r>
      <w:r>
        <w:t xml:space="preserve"> </w:t>
      </w:r>
      <w:r>
        <w:t xml:space="preserve">authorized set — the compiler's existing need-to-know graph (</w:t>
      </w:r>
      <w:r>
        <w:rPr>
          <w:rStyle w:val="VerbatimChar"/>
        </w:rPr>
        <w:t xml:space="preserve">svc-policy.md</w:t>
      </w:r>
      <w:r>
        <w:t xml:space="preserve"> </w:t>
      </w:r>
      <w:r>
        <w:t xml:space="preserve">P1) already supports</w:t>
      </w:r>
      <w:r>
        <w:t xml:space="preserve"> </w:t>
      </w:r>
      <w:r>
        <w:t xml:space="preserve">"this device may reach exactly one host," so posture gating is a</w:t>
      </w:r>
      <w:r>
        <w:t xml:space="preserve"> </w:t>
      </w:r>
      <w:r>
        <w:rPr>
          <w:b/>
          <w:bCs/>
        </w:rPr>
        <w:t xml:space="preserve">policy input</w:t>
      </w:r>
      <w:r>
        <w:t xml:space="preserve">, not a new</w:t>
      </w:r>
      <w:r>
        <w:t xml:space="preserve"> </w:t>
      </w:r>
      <w:r>
        <w:t xml:space="preserve">enforcement mechanism.</w:t>
      </w:r>
    </w:p>
    <w:bookmarkEnd w:id="22"/>
    <w:bookmarkStart w:id="26" w:name="Xd9383948d6041c1cf8fade639449b2650964d4c"/>
    <w:p>
      <w:pPr>
        <w:pStyle w:val="Heading3"/>
      </w:pPr>
      <w:r>
        <w:t xml:space="preserve">4.3 Conditional access policies</w:t>
      </w:r>
    </w:p>
    <w:p>
      <w:pPr>
        <w:pStyle w:val="FirstParagraph"/>
      </w:pPr>
      <w:r>
        <w:t xml:space="preserve">Conditional access combines</w:t>
      </w:r>
      <w:r>
        <w:t xml:space="preserve"> </w:t>
      </w:r>
      <w:r>
        <w:rPr>
          <w:b/>
          <w:bCs/>
        </w:rPr>
        <w:t xml:space="preserve">identity context</w:t>
      </w:r>
      <w:r>
        <w:t xml:space="preserve"> </w:t>
      </w:r>
      <w:r>
        <w:t xml:space="preserve">(IdP group membership, which SSO session,</w:t>
      </w:r>
      <w:r>
        <w:t xml:space="preserve"> </w:t>
      </w:r>
      <w:r>
        <w:t xml:space="preserve">geo-IP of the enrollment/connect attempt) with</w:t>
      </w:r>
      <w:r>
        <w:t xml:space="preserve"> </w:t>
      </w:r>
      <w:r>
        <w:rPr>
          <w:b/>
          <w:bCs/>
        </w:rPr>
        <w:t xml:space="preserve">device posture</w:t>
      </w:r>
      <w:r>
        <w:t xml:space="preserve"> </w:t>
      </w:r>
      <w:r>
        <w:t xml:space="preserve">(§4.2) as additional inputs to</w:t>
      </w:r>
      <w:r>
        <w:t xml:space="preserve"> </w:t>
      </w:r>
      <w:r>
        <w:t xml:space="preserve">the policy compiler's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(extended in §6.1). This section supplies the identity-side inputs;</w:t>
      </w:r>
      <w:r>
        <w:t xml:space="preserve"> </w:t>
      </w:r>
      <w:r>
        <w:t xml:space="preserve">§6.1 is the compiler mechanism that evaluates them.</w:t>
      </w:r>
    </w:p>
    <w:p>
      <w:pPr>
        <w:pStyle w:val="BodyText"/>
      </w:pPr>
      <w:r>
        <w:drawing>
          <wp:inline>
            <wp:extent cx="5334000" cy="3061607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/tmp/.private/milosvasic/tmp.tuhsSqld4N/img/diagram_002_d1537400a35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X18dee6633df5270bfc6a7feb81ba18656c7668f"/>
    <w:p>
      <w:pPr>
        <w:pStyle w:val="Heading2"/>
      </w:pPr>
      <w:r>
        <w:t xml:space="preserve">5. Global scale &amp; HA</w:t>
      </w:r>
    </w:p>
    <w:p>
      <w:pPr>
        <w:pStyle w:val="FirstParagraph"/>
      </w:pPr>
      <w:r>
        <w:t xml:space="preserve">Phase 2 already establishes the HA thesis that makes this section cheap: coordinators are</w:t>
      </w:r>
      <w:r>
        <w:t xml:space="preserve"> </w:t>
      </w:r>
      <w:r>
        <w:t xml:space="preserve">stateless on disk (</w:t>
      </w:r>
      <w:r>
        <w:rPr>
          <w:rStyle w:val="VerbatimChar"/>
        </w:rPr>
        <w:t xml:space="preserve">v06-deploy/ha-and-multiregion.md</w:t>
      </w:r>
      <w:r>
        <w:t xml:space="preserve"> </w:t>
      </w:r>
      <w:r>
        <w:t xml:space="preserve">§0 — "coordinators are cattle"), Postgres</w:t>
      </w:r>
      <w:r>
        <w:t xml:space="preserve"> </w:t>
      </w:r>
      <w:r>
        <w:t xml:space="preserve">is the one store whose HA is a correctness requirement, and the event bus is ephemeral by design.</w:t>
      </w:r>
      <w:r>
        <w:t xml:space="preserve"> </w:t>
      </w:r>
      <w:r>
        <w:t xml:space="preserve">Phase 3</w:t>
      </w:r>
      <w:r>
        <w:t xml:space="preserve"> </w:t>
      </w:r>
      <w:r>
        <w:rPr>
          <w:b/>
          <w:bCs/>
        </w:rPr>
        <w:t xml:space="preserve">resolves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items</w:t>
      </w:r>
      <w:r>
        <w:t xml:space="preserve"> </w:t>
      </w:r>
      <w:r>
        <w:t xml:space="preserve">that document left open (its §9) and formalizes</w:t>
      </w:r>
      <w:r>
        <w:t xml:space="preserve"> </w:t>
      </w:r>
      <w:r>
        <w:t xml:space="preserve">"region" and "organization-aware routing" as first-class control-plane concepts.</w:t>
      </w:r>
    </w:p>
    <w:bookmarkStart w:id="28" w:name="X8f0ee2978a0bf9f1384015a57d877e7ba9fa8da"/>
    <w:p>
      <w:pPr>
        <w:pStyle w:val="Heading3"/>
      </w:pPr>
      <w:r>
        <w:t xml:space="preserve">5.1 Multi-region Gateway/Connector mesh as a first-class concept</w:t>
      </w:r>
    </w:p>
    <w:p>
      <w:pPr>
        <w:pStyle w:val="SourceCode"/>
      </w:pPr>
      <w:r>
        <w:rPr>
          <w:rStyle w:val="CommentTok"/>
        </w:rPr>
        <w:t xml:space="preserve">-- Phase-3 addition: regions become addressable rows, not just deployment topology.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'us-east', 'eu-west', 'ap-south', ...</w:t>
      </w:r>
      <w:r>
        <w:br/>
      </w:r>
      <w:r>
        <w:rPr>
          <w:rStyle w:val="NormalTok"/>
        </w:rPr>
        <w:t xml:space="preserve">    display_name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edge_endpoint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the region's public gateway endpoint (host:443/udp)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home_region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connectors: where they're deployed</w:t>
      </w:r>
    </w:p>
    <w:p>
      <w:pPr>
        <w:pStyle w:val="FirstParagraph"/>
      </w:pPr>
      <w:r>
        <w:t xml:space="preserve">The coordinator's existing</w:t>
      </w:r>
      <w:r>
        <w:t xml:space="preserve"> </w:t>
      </w:r>
      <w:r>
        <w:rPr>
          <w:rStyle w:val="VerbatimChar"/>
        </w:rPr>
        <w:t xml:space="preserve">GatewayInfo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svc-coordinator.md</w:t>
      </w:r>
      <w:r>
        <w:t xml:space="preserve"> </w:t>
      </w:r>
      <w:r>
        <w:t xml:space="preserve">§1.2 "Graph data structures" — corrected 2026-07-04, was mis-cited as §2.1 which is the buildMap snapshot section — already used for</w:t>
      </w:r>
      <w:r>
        <w:t xml:space="preserve"> </w:t>
      </w:r>
      <w:r>
        <w:t xml:space="preserve">per-node gateway selection, D-GW-SELECT) now resolves against this table instead of static</w:t>
      </w:r>
      <w:r>
        <w:t xml:space="preserve"> </w:t>
      </w:r>
      <w:r>
        <w:t xml:space="preserve">config, so adding a region is a data change (</w:t>
      </w:r>
      <w:r>
        <w:rPr>
          <w:rStyle w:val="VerbatimChar"/>
        </w:rPr>
        <w:t xml:space="preserve">INSERT INTO regions ...</w:t>
      </w:r>
      <w:r>
        <w:t xml:space="preserve"> </w:t>
      </w:r>
      <w:r>
        <w:t xml:space="preserve">+ deploy an edge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there), not a code change.</w:t>
      </w:r>
    </w:p>
    <w:bookmarkEnd w:id="28"/>
    <w:bookmarkStart w:id="29" w:name="X39b68da44f1e9670f54f04c129b16c44109fd1a"/>
    <w:p>
      <w:pPr>
        <w:pStyle w:val="Heading3"/>
      </w:pPr>
      <w:r>
        <w:t xml:space="preserve">5.2 Geo-routing / latency-based server selection</w:t>
      </w:r>
    </w:p>
    <w:p>
      <w:pPr>
        <w:pStyle w:val="FirstParagraph"/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mvp/final/v06-deploy/ha-and-multiregion.md</w:t>
      </w:r>
      <w:r>
        <w:t xml:space="preserve"> </w:t>
      </w:r>
      <w:r>
        <w:t xml:space="preserve">decision</w:t>
      </w:r>
      <w:r>
        <w:t xml:space="preserve"> </w:t>
      </w:r>
      <w:r>
        <w:rPr>
          <w:b/>
          <w:bCs/>
        </w:rPr>
        <w:t xml:space="preserve">D-GW-SELECT</w:t>
      </w:r>
      <w:r>
        <w:t xml:space="preserve"> </w:t>
      </w:r>
      <w:r>
        <w:t xml:space="preserve">for the enterprise</w:t>
      </w:r>
      <w:r>
        <w:t xml:space="preserve"> </w:t>
      </w:r>
      <w:r>
        <w:t xml:space="preserve">tier: Phase 3 ships</w:t>
      </w:r>
      <w:r>
        <w:t xml:space="preserve"> </w:t>
      </w:r>
      <w:r>
        <w:rPr>
          <w:b/>
          <w:bCs/>
        </w:rPr>
        <w:t xml:space="preserve">(a) geoDNS as the default</w:t>
      </w:r>
      <w:r>
        <w:t xml:space="preserve"> </w:t>
      </w:r>
      <w:r>
        <w:t xml:space="preserve">(as recommended there)</w:t>
      </w:r>
      <w:r>
        <w:t xml:space="preserve"> </w:t>
      </w:r>
      <w:r>
        <w:rPr>
          <w:b/>
          <w:bCs/>
        </w:rPr>
        <w:t xml:space="preserve">plus (c) client-side</w:t>
      </w:r>
      <w:r>
        <w:rPr>
          <w:b/>
          <w:bCs/>
        </w:rPr>
        <w:t xml:space="preserve"> </w:t>
      </w:r>
      <w:r>
        <w:rPr>
          <w:b/>
          <w:bCs/>
        </w:rPr>
        <w:t xml:space="preserve">override from the network map</w:t>
      </w:r>
      <w:r>
        <w:t xml:space="preserve"> </w:t>
      </w:r>
      <w:r>
        <w:t xml:space="preserve">— the coordinator now actively measures inter-region RTT from</w:t>
      </w:r>
      <w:r>
        <w:t xml:space="preserve"> </w:t>
      </w:r>
      <w:r>
        <w:t xml:space="preserve">each connector's advertised prefixes (a lightweight periodic probe, metadata only) and biases</w:t>
      </w:r>
      <w:r>
        <w:t xml:space="preserve"> </w:t>
      </w:r>
      <w:r>
        <w:rPr>
          <w:rStyle w:val="VerbatimChar"/>
        </w:rPr>
        <w:t xml:space="preserve">GatewayInfo.endpoint</w:t>
      </w:r>
      <w:r>
        <w:t xml:space="preserve"> </w:t>
      </w:r>
      <w:r>
        <w:t xml:space="preserve">toward the lowest-latency region for that device's typical peers, not just</w:t>
      </w:r>
      <w:r>
        <w:t xml:space="preserve"> </w:t>
      </w:r>
      <w:r>
        <w:t xml:space="preserve">the device's own geo-IP. Anycast (option b) remains available for fleets with BGP capability but</w:t>
      </w:r>
      <w:r>
        <w:t xml:space="preserve"> </w:t>
      </w:r>
      <w:r>
        <w:t xml:space="preserve">is not required for GA.</w:t>
      </w:r>
    </w:p>
    <w:bookmarkEnd w:id="29"/>
    <w:bookmarkStart w:id="30" w:name="X135df49051974d95c1c2c832e694a926350ac2e"/>
    <w:p>
      <w:pPr>
        <w:pStyle w:val="Heading3"/>
      </w:pPr>
      <w:r>
        <w:t xml:space="preserve">5.3 Horizontal autoscaling of the control plane</w:t>
      </w:r>
    </w:p>
    <w:p>
      <w:pPr>
        <w:pStyle w:val="FirstParagraph"/>
      </w:pPr>
      <w:r>
        <w:rPr>
          <w:rStyle w:val="VerbatimChar"/>
        </w:rPr>
        <w:t xml:space="preserve">helixd</w:t>
      </w:r>
      <w:r>
        <w:t xml:space="preserve"> </w:t>
      </w:r>
      <w:r>
        <w:t xml:space="preserve">replicas are already HPA-ready (stateless,</w:t>
      </w:r>
      <w:r>
        <w:t xml:space="preserve"> </w:t>
      </w: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§5). Phase 3 pins</w:t>
      </w:r>
      <w:r>
        <w:t xml:space="preserve"> </w:t>
      </w:r>
      <w:r>
        <w:t xml:space="preserve">the concrete scaling signal: HPA on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count per replica and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event-consumer lag (</w:t>
      </w:r>
      <w:r>
        <w:rPr>
          <w:rStyle w:val="VerbatimChar"/>
        </w:rPr>
        <w:t xml:space="preserve">svc-events.md</w:t>
      </w:r>
      <w:r>
        <w:t xml:space="preserve"> </w:t>
      </w:r>
      <w:r>
        <w:t xml:space="preserve">§7), not raw CPU — CPU is a poor proxy for a</w:t>
      </w:r>
      <w:r>
        <w:t xml:space="preserve"> </w:t>
      </w:r>
      <w:r>
        <w:t xml:space="preserve">mostly-I/O-bound streaming server. Target: scale out when a replica holds &gt; N streams (N</w:t>
      </w:r>
      <w:r>
        <w:t xml:space="preserve"> </w:t>
      </w:r>
      <w:r>
        <w:t xml:space="preserve">tenant-tunable, default 5,000) or consumer lag exceeds the convergence SLO budget.</w:t>
      </w:r>
    </w:p>
    <w:bookmarkEnd w:id="30"/>
    <w:bookmarkStart w:id="31" w:name="X40f2d0bc7dce27e2dedb3c06be6fd24a319c4f4"/>
    <w:p>
      <w:pPr>
        <w:pStyle w:val="Heading3"/>
      </w:pPr>
      <w:r>
        <w:t xml:space="preserve">5.4 Postgres HA — resolving the read-replica question</w:t>
      </w:r>
    </w:p>
    <w:p>
      <w:pPr>
        <w:pStyle w:val="FirstParagraph"/>
      </w:pPr>
      <w:r>
        <w:rPr>
          <w:rStyle w:val="VerbatimChar"/>
        </w:rPr>
        <w:t xml:space="preserve">ha-and-multiregion.md</w:t>
      </w:r>
      <w:r>
        <w:t xml:space="preserve"> </w:t>
      </w:r>
      <w:r>
        <w:t xml:space="preserve">§9 flags</w:t>
      </w:r>
      <w:r>
        <w:t xml:space="preserve"> </w:t>
      </w:r>
      <w:r>
        <w:rPr>
          <w:b/>
          <w:bCs/>
        </w:rPr>
        <w:t xml:space="preserve">U2</w:t>
      </w:r>
      <w:r>
        <w:t xml:space="preserve"> </w:t>
      </w:r>
      <w:r>
        <w:t xml:space="preserve">("hydration reads routed to regional read-replicas")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/Phase-2-optimization. Phase 3 resolves it: coordinator</w:t>
      </w:r>
      <w:r>
        <w:t xml:space="preserve"> </w:t>
      </w:r>
      <w:r>
        <w:rPr>
          <w:b/>
          <w:bCs/>
        </w:rPr>
        <w:t xml:space="preserve">boot hydration</w:t>
      </w:r>
      <w:r>
        <w:t xml:space="preserve"> </w:t>
      </w:r>
      <w:r>
        <w:t xml:space="preserve">and all</w:t>
      </w:r>
      <w:r>
        <w:t xml:space="preserve"> </w:t>
      </w:r>
      <w:r>
        <w:rPr>
          <w:b/>
          <w:bCs/>
        </w:rPr>
        <w:t xml:space="preserve">reporting/billing rollup queries</w:t>
      </w:r>
      <w:r>
        <w:t xml:space="preserve"> </w:t>
      </w:r>
      <w:r>
        <w:t xml:space="preserve">(§3.4, §8) read from a regional async standby;</w:t>
      </w:r>
      <w:r>
        <w:t xml:space="preserve"> </w:t>
      </w:r>
      <w:r>
        <w:rPr>
          <w:b/>
          <w:bCs/>
        </w:rPr>
        <w:t xml:space="preserve">every write and every policy-compile snapshot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TopologySnapshot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svc-policy.md</w:t>
      </w:r>
      <w:r>
        <w:t xml:space="preserve"> </w:t>
      </w:r>
      <w:r>
        <w:t xml:space="preserve">§1.1</w:t>
      </w:r>
      <w:r>
        <w:t xml:space="preserve"> </w:t>
      </w:r>
      <w:r>
        <w:t xml:space="preserve">— must be read-consistent within one transaction) still goes to the single primary (C2</w:t>
      </w:r>
      <w:r>
        <w:t xml:space="preserve"> </w:t>
      </w:r>
      <w:r>
        <w:t xml:space="preserve">invariant unchanged). This split is safe specifically because hydration and billing reads are</w:t>
      </w:r>
      <w:r>
        <w:t xml:space="preserve"> </w:t>
      </w:r>
      <w:r>
        <w:t xml:space="preserve">tolerant of a few seconds of replication lag; policy compilation is not, and never reads from a</w:t>
      </w:r>
      <w:r>
        <w:t xml:space="preserve"> </w:t>
      </w:r>
      <w:r>
        <w:t xml:space="preserve">replica.</w:t>
      </w:r>
    </w:p>
    <w:bookmarkEnd w:id="31"/>
    <w:bookmarkStart w:id="32" w:name="Xb068da37089577707326abe8ab877365a30a79d"/>
    <w:p>
      <w:pPr>
        <w:pStyle w:val="Heading3"/>
      </w:pPr>
      <w:r>
        <w:t xml:space="preserve">5.5 Redis Streams clustering → NATS JetStream at defined replication factor</w:t>
      </w:r>
    </w:p>
    <w:p>
      <w:pPr>
        <w:pStyle w:val="FirstParagraph"/>
      </w:pPr>
      <w:r>
        <w:t xml:space="preserve">Resolves</w:t>
      </w:r>
      <w:r>
        <w:t xml:space="preserve"> </w:t>
      </w:r>
      <w:r>
        <w:rPr>
          <w:b/>
          <w:bCs/>
        </w:rPr>
        <w:t xml:space="preserve">U3</w:t>
      </w:r>
      <w:r>
        <w:t xml:space="preserve"> </w:t>
      </w:r>
      <w:r>
        <w:t xml:space="preserve">(</w:t>
      </w:r>
      <w:r>
        <w:rPr>
          <w:rStyle w:val="VerbatimChar"/>
        </w:rPr>
        <w:t xml:space="preserve">ha-and-multiregion.md</w:t>
      </w:r>
      <w:r>
        <w:t xml:space="preserve"> </w:t>
      </w:r>
      <w:r>
        <w:t xml:space="preserve">§9 — "NATS JetStream replication factor / multi-region</w:t>
      </w:r>
      <w:r>
        <w:t xml:space="preserve"> </w:t>
      </w:r>
      <w:r>
        <w:t xml:space="preserve">placement... a Phase-2 capacity decision, not resolved"). Phase 3's concrete answer:</w:t>
      </w:r>
      <w:r>
        <w:t xml:space="preserve"> </w:t>
      </w:r>
      <w:r>
        <w:rPr>
          <w:b/>
          <w:bCs/>
        </w:rPr>
        <w:t xml:space="preserve">R3</w:t>
      </w:r>
      <w:r>
        <w:rPr>
          <w:b/>
          <w:bCs/>
        </w:rPr>
        <w:t xml:space="preserve"> </w:t>
      </w:r>
      <w:r>
        <w:rPr>
          <w:b/>
          <w:bCs/>
        </w:rPr>
        <w:t xml:space="preserve">JetStream clustering per region</w:t>
      </w:r>
      <w:r>
        <w:t xml:space="preserve">, with</w:t>
      </w:r>
      <w:r>
        <w:t xml:space="preserve"> </w:t>
      </w:r>
      <w:r>
        <w:rPr>
          <w:b/>
          <w:bCs/>
        </w:rPr>
        <w:t xml:space="preserve">cross-region stream mirroring</w:t>
      </w:r>
      <w:r>
        <w:t xml:space="preserve"> </w:t>
      </w:r>
      <w:r>
        <w:t xml:space="preserve">(not a single</w:t>
      </w:r>
      <w:r>
        <w:t xml:space="preserve"> </w:t>
      </w:r>
      <w:r>
        <w:t xml:space="preserve">cross-region cluster — WAN RAFT consensus latency would blow the &lt; 1 s convergence budget).</w:t>
      </w:r>
      <w:r>
        <w:t xml:space="preserve"> </w:t>
      </w:r>
      <w:r>
        <w:t xml:space="preserve">Each region's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replicas publish/consume against their local R3 cluster; a lightweight</w:t>
      </w:r>
      <w:r>
        <w:t xml:space="preserve"> </w:t>
      </w:r>
      <w:r>
        <w:t xml:space="preserve">mirror relay forwards</w:t>
      </w:r>
      <w:r>
        <w:t xml:space="preserve"> </w:t>
      </w:r>
      <w:r>
        <w:rPr>
          <w:rStyle w:val="VerbatimChar"/>
        </w:rPr>
        <w:t xml:space="preserve">policy.*</w:t>
      </w:r>
      <w:r>
        <w:t xml:space="preserve">/</w:t>
      </w:r>
      <w:r>
        <w:rPr>
          <w:rStyle w:val="VerbatimChar"/>
        </w:rPr>
        <w:t xml:space="preserve">device.*</w:t>
      </w:r>
      <w:r>
        <w:t xml:space="preserve"> </w:t>
      </w:r>
      <w:r>
        <w:t xml:space="preserve">events cross-region for global consistency of the</w:t>
      </w:r>
      <w:r>
        <w:t xml:space="preserve"> </w:t>
      </w:r>
      <w:r>
        <w:t xml:space="preserve">Postgres-backed truth, while</w:t>
      </w:r>
      <w:r>
        <w:t xml:space="preserve"> </w:t>
      </w:r>
      <w:r>
        <w:rPr>
          <w:rStyle w:val="VerbatimChar"/>
        </w:rPr>
        <w:t xml:space="preserve">presence.*</w:t>
      </w:r>
      <w:r>
        <w:t xml:space="preserve"> </w:t>
      </w:r>
      <w:r>
        <w:t xml:space="preserve">(ephemeral, region-local by nature — a device is</w:t>
      </w:r>
      <w:r>
        <w:t xml:space="preserve"> </w:t>
      </w:r>
      <w:r>
        <w:t xml:space="preserve">connected to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region's edge) never crosses regions at all.</w:t>
      </w:r>
    </w:p>
    <w:bookmarkEnd w:id="32"/>
    <w:bookmarkStart w:id="33" w:name="X89ad0f5e5b1891a2a487f7a3635455cdfce1525"/>
    <w:p>
      <w:pPr>
        <w:pStyle w:val="Heading3"/>
      </w:pPr>
      <w:r>
        <w:t xml:space="preserve">5.6 Disaster recovery — concrete RPO/RTO targets</w:t>
      </w:r>
    </w:p>
    <w:p>
      <w:pPr>
        <w:pStyle w:val="FirstParagraph"/>
      </w:pPr>
      <w:r>
        <w:t xml:space="preserve">Building on</w:t>
      </w:r>
      <w:r>
        <w:t xml:space="preserve"> </w:t>
      </w:r>
      <w:r>
        <w:rPr>
          <w:rStyle w:val="VerbatimChar"/>
        </w:rPr>
        <w:t xml:space="preserve">v06-deploy/disaster-recovery.md</w:t>
      </w:r>
      <w:r>
        <w:t xml:space="preserve">'s existing runbook (RPO≈0 via sync-committed</w:t>
      </w:r>
      <w:r>
        <w:t xml:space="preserve"> </w:t>
      </w:r>
      <w:r>
        <w:t xml:space="preserve">Postgres + Git-tracked policy-as-code, RTO 15–30 min for a single-node self-host):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RPO target</w:t>
            </w:r>
          </w:p>
        </w:tc>
        <w:tc>
          <w:tcPr/>
          <w:p>
            <w:pPr>
              <w:pStyle w:val="Compact"/>
            </w:pPr>
            <w:r>
              <w:t xml:space="preserve">RTO target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replica loss</w:t>
            </w:r>
          </w:p>
        </w:tc>
        <w:tc>
          <w:tcPr/>
          <w:p>
            <w:pPr>
              <w:pStyle w:val="Compact"/>
            </w:pPr>
            <w:r>
              <w:t xml:space="preserve">0 (stateless)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agent reconnect +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  <w:r>
              <w:t xml:space="preserve"> </w:t>
            </w:r>
            <w:r>
              <w:t xml:space="preserve">resume (§6,</w:t>
            </w:r>
            <w:r>
              <w:t xml:space="preserve"> </w:t>
            </w:r>
            <w:r>
              <w:rPr>
                <w:rStyle w:val="VerbatimChar"/>
              </w:rPr>
              <w:t xml:space="preserve">ha-and-multiregion.md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primary loss (single region)</w:t>
            </w:r>
          </w:p>
        </w:tc>
        <w:tc>
          <w:tcPr/>
          <w:p>
            <w:pPr>
              <w:pStyle w:val="Compact"/>
            </w:pPr>
            <w:r>
              <w:t xml:space="preserve">0 for sync-committed txns</w:t>
            </w:r>
          </w:p>
        </w:tc>
        <w:tc>
          <w:tcPr/>
          <w:p>
            <w:pPr>
              <w:pStyle w:val="Compact"/>
            </w:pPr>
            <w:r>
              <w:t xml:space="preserve">&lt; 60 s</w:t>
            </w:r>
          </w:p>
        </w:tc>
        <w:tc>
          <w:tcPr/>
          <w:p>
            <w:pPr>
              <w:pStyle w:val="Compact"/>
            </w:pPr>
            <w:r>
              <w:t xml:space="preserve">Patroni/CNPG promotion (already spec'd)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Whole-region loss (Phase 3 new)</w:t>
            </w:r>
          </w:p>
        </w:tc>
        <w:tc>
          <w:tcPr/>
          <w:p>
            <w:pPr>
              <w:pStyle w:val="Compact"/>
            </w:pPr>
            <w:r>
              <w:t xml:space="preserve">0 for the surviving region's data; up to the async-replication lag (target &lt; 30 s) for the lost region's very-latest writes</w:t>
            </w:r>
          </w:p>
        </w:tc>
        <w:tc>
          <w:tcPr/>
          <w:p>
            <w:pPr>
              <w:pStyle w:val="Compact"/>
            </w:pPr>
            <w:r>
              <w:t xml:space="preserve">&lt; 15 min automated (geoDNS health-check removes the region; surviving regions' coordinators already serve from the cross-region-replicated primary/promoted-standby)</w:t>
            </w:r>
          </w:p>
        </w:tc>
        <w:tc>
          <w:tcPr/>
          <w:p>
            <w:pPr>
              <w:pStyle w:val="Compact"/>
            </w:pPr>
            <w:r>
              <w:t xml:space="preserve">automated region-failover runbook (§10</w:t>
            </w:r>
            <w:r>
              <w:t xml:space="preserve"> </w:t>
            </w:r>
            <w:r>
              <w:rPr>
                <w:rStyle w:val="VerbatimChar"/>
              </w:rPr>
              <w:t xml:space="preserve">HVPN-ENT-5xx</w:t>
            </w:r>
            <w:r>
              <w:t xml:space="preserve">), replacing the Phase-2 manual DR drill for the enterprise tier</w:t>
            </w:r>
          </w:p>
        </w:tc>
      </w:tr>
    </w:tbl>
    <w:bookmarkEnd w:id="33"/>
    <w:bookmarkStart w:id="37" w:name="X7e8dbb1552f3de4c1c57c85ffb475064cef84e8"/>
    <w:p>
      <w:pPr>
        <w:pStyle w:val="Heading3"/>
      </w:pPr>
      <w:r>
        <w:t xml:space="preserve">5.7 Zero-downtime rolling upgrades</w:t>
      </w:r>
    </w:p>
    <w:p>
      <w:pPr>
        <w:pStyle w:val="FirstParagraph"/>
      </w:pPr>
      <w:r>
        <w:t xml:space="preserve">Because coordinators are stateless and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protocol already carries a</w:t>
      </w:r>
      <w:r>
        <w:t xml:space="preserve"> </w:t>
      </w:r>
      <w:r>
        <w:t xml:space="preserve">monotonic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§4, "Agent contract — protobuf" — corrected 2026-07-04, was mis-cited as §7.2), a rolling upgrade adds one field to</w:t>
      </w:r>
      <w:r>
        <w:t xml:space="preserve"> </w:t>
      </w:r>
      <w:r>
        <w:t xml:space="preserve">negotiate protocol compatibility during the rollout window: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WatchRequest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known_version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DevicePosture posture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client_protocol_version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Phase-3: coordinator refuses only on a KNOWN-breaking bump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standard Kubernetes rolling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update mixes old/new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pods during rollout;</w:t>
      </w:r>
      <w:r>
        <w:t xml:space="preserve"> </w:t>
      </w:r>
      <w:r>
        <w:t xml:space="preserve">because both understand the currently-shipping wire contract (protocol version bumps are</w:t>
      </w:r>
      <w:r>
        <w:t xml:space="preserve"> </w:t>
      </w:r>
      <w:r>
        <w:t xml:space="preserve">additive-only within a phase per the existing schema-first/zero-drift principle, §4 clause 8 of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), an agent reconnecting mid-rollout to either an old or a new pod gets a</w:t>
      </w:r>
      <w:r>
        <w:t xml:space="preserve"> </w:t>
      </w:r>
      <w:r>
        <w:t xml:space="preserve">correct network map — no maintenance window, no forced client disconnect.</w:t>
      </w:r>
    </w:p>
    <w:p>
      <w:pPr>
        <w:pStyle w:val="BodyText"/>
      </w:pPr>
      <w:r>
        <w:drawing>
          <wp:inline>
            <wp:extent cx="5334000" cy="1612446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.private/milosvasic/tmp.tuhsSqld4N/img/diagram_003_d661e44c3b8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2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831dcb85846b1f2e976c7bf9671c12fc8bae864"/>
    <w:p>
      <w:pPr>
        <w:pStyle w:val="Heading2"/>
      </w:pPr>
      <w:r>
        <w:t xml:space="preserve">6. Advanced policy engine</w:t>
      </w:r>
    </w:p>
    <w:p>
      <w:pPr>
        <w:pStyle w:val="FirstParagraph"/>
      </w:pPr>
      <w:r>
        <w:t xml:space="preserve">The Phase-1 compiler (</w:t>
      </w:r>
      <w:r>
        <w:rPr>
          <w:rStyle w:val="VerbatimChar"/>
        </w:rPr>
        <w:t xml:space="preserve">v03-control-plane/svc-policy.md</w:t>
      </w:r>
      <w:r>
        <w:t xml:space="preserve">) is a</w:t>
      </w:r>
      <w:r>
        <w:t xml:space="preserve"> </w:t>
      </w:r>
      <w:r>
        <w:rPr>
          <w:b/>
          <w:bCs/>
        </w:rPr>
        <w:t xml:space="preserve">pure, deterministic,</w:t>
      </w:r>
      <w:r>
        <w:rPr>
          <w:b/>
          <w:bCs/>
        </w:rPr>
        <w:t xml:space="preserve"> </w:t>
      </w:r>
      <w:r>
        <w:rPr>
          <w:b/>
          <w:bCs/>
        </w:rPr>
        <w:t xml:space="preserve">versioned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Compile(tenant, spec, graph) → (AllowedIPs, VerdictMap, Advisories)</w:t>
      </w:r>
      <w:r>
        <w:t xml:space="preserve"> </w:t>
      </w:r>
      <w:r>
        <w:t xml:space="preserve">(invariant P2). Every extension below adds an</w:t>
      </w:r>
      <w:r>
        <w:t xml:space="preserve"> </w:t>
      </w:r>
      <w:r>
        <w:rPr>
          <w:b/>
          <w:bCs/>
        </w:rPr>
        <w:t xml:space="preserve">explicit input parameter</w:t>
      </w:r>
      <w:r>
        <w:t xml:space="preserve"> </w:t>
      </w:r>
      <w:r>
        <w:t xml:space="preserve">to that function</w:t>
      </w:r>
      <w:r>
        <w:t xml:space="preserve"> </w:t>
      </w:r>
      <w:r>
        <w:t xml:space="preserve">rather than a hidden side effect, which is the only way to add context-awareness without</w:t>
      </w:r>
      <w:r>
        <w:t xml:space="preserve"> </w:t>
      </w:r>
      <w:r>
        <w:t xml:space="preserve">breaking purity/determinism/testability.</w:t>
      </w:r>
    </w:p>
    <w:bookmarkStart w:id="39" w:name="Xd67b853fc743e5068b7c95ee8eaef5cc5780c28"/>
    <w:p>
      <w:pPr>
        <w:pStyle w:val="Heading3"/>
      </w:pPr>
      <w:r>
        <w:t xml:space="preserve">6.1 Time-based / context-aware access policies</w:t>
      </w:r>
    </w:p>
    <w:p>
      <w:pPr>
        <w:pStyle w:val="SourceCode"/>
      </w:pPr>
      <w:r>
        <w:rPr>
          <w:rStyle w:val="CommentTok"/>
        </w:rPr>
        <w:t xml:space="preserve">// internal/policy/spec.go — additive Spec fields. The compiler signature becomes</w:t>
      </w:r>
      <w:r>
        <w:br/>
      </w:r>
      <w:r>
        <w:rPr>
          <w:rStyle w:val="CommentTok"/>
        </w:rPr>
        <w:t xml:space="preserve">// Compile(ctx, tenant, spec, graph, evalTime) — evalTime is an EXPLICIT parameter,</w:t>
      </w:r>
      <w:r>
        <w:br/>
      </w:r>
      <w:r>
        <w:rPr>
          <w:rStyle w:val="CommentTok"/>
        </w:rPr>
        <w:t xml:space="preserve">// never time.Now() read inside Compile, preserving P2 (pure + deterministic: identical</w:t>
      </w:r>
      <w:r>
        <w:br/>
      </w:r>
      <w:r>
        <w:rPr>
          <w:rStyle w:val="CommentTok"/>
        </w:rPr>
        <w:t xml:space="preserve">// (tenant, spec, graph, evalTime) still yields a byte-identical CompiledPolicy).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Condition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TimeWindow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TimeWindow </w:t>
      </w:r>
      <w:r>
        <w:rPr>
          <w:rStyle w:val="CommentTok"/>
        </w:rPr>
        <w:t xml:space="preserve">// e.g. Mon-Fri 08:00-18:00 in a named tz</w:t>
      </w:r>
      <w:r>
        <w:br/>
      </w:r>
      <w:r>
        <w:rPr>
          <w:rStyle w:val="NormalTok"/>
        </w:rPr>
        <w:t xml:space="preserve">    GeoCountries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ISO-3166 allow-list, sourced from enrollment/connect geo-IP</w:t>
      </w:r>
      <w:r>
        <w:br/>
      </w:r>
      <w:r>
        <w:rPr>
          <w:rStyle w:val="NormalTok"/>
        </w:rPr>
        <w:t xml:space="preserve">    PostureTier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"compliant" | "remediation_only" (§4.2)</w:t>
      </w:r>
      <w:r>
        <w:br/>
      </w:r>
      <w:r>
        <w:rPr>
          <w:rStyle w:val="NormalTok"/>
        </w:rPr>
        <w:t xml:space="preserve">    IdPGroup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SAML/OIDC group claim, synced via SCIM (§3.5)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SrcGroup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DstSelector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Ports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PortRange</w:t>
      </w:r>
      <w:r>
        <w:br/>
      </w:r>
      <w:r>
        <w:rPr>
          <w:rStyle w:val="NormalTok"/>
        </w:rPr>
        <w:t xml:space="preserve">    Action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"accept" (P1: absence is denial, unchanged)</w:t>
      </w:r>
      <w:r>
        <w:br/>
      </w:r>
      <w:r>
        <w:rPr>
          <w:rStyle w:val="NormalTok"/>
        </w:rPr>
        <w:t xml:space="preserve">    Conditions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Condition </w:t>
      </w:r>
      <w:r>
        <w:rPr>
          <w:rStyle w:val="CommentTok"/>
        </w:rPr>
        <w:t xml:space="preserve">// Phase-3 addition; empty == unconditional (Phase-1/2 behaviour, unchanged)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background scheduler emits a</w:t>
      </w:r>
      <w:r>
        <w:t xml:space="preserve"> </w:t>
      </w:r>
      <w:r>
        <w:rPr>
          <w:rStyle w:val="VerbatimChar"/>
        </w:rPr>
        <w:t xml:space="preserve">policy.recompile</w:t>
      </w:r>
      <w:r>
        <w:t xml:space="preserve"> </w:t>
      </w:r>
      <w:r>
        <w:t xml:space="preserve">event at every condition boundary a tenant's</w:t>
      </w:r>
      <w:r>
        <w:t xml:space="preserve"> </w:t>
      </w:r>
      <w:r>
        <w:t xml:space="preserve">active policy has (e.g. at 08:00 and 18:00 local time for a time-window rule) so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 </w:t>
      </w:r>
      <w:r>
        <w:t xml:space="preserve">→ coordinator-recompute → push-delta pipeline (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§8, the</w:t>
      </w:r>
      <w:r>
        <w:t xml:space="preserve"> </w:t>
      </w:r>
      <w:r>
        <w:t xml:space="preserve">"policy change propagation" sequence) handles the transition with</w:t>
      </w:r>
      <w:r>
        <w:t xml:space="preserve"> </w:t>
      </w:r>
      <w:r>
        <w:rPr>
          <w:b/>
          <w:bCs/>
        </w:rPr>
        <w:t xml:space="preserve">zero new mechanism</w:t>
      </w:r>
      <w:r>
        <w:t xml:space="preserve"> </w:t>
      </w:r>
      <w:r>
        <w:t xml:space="preserve">— a</w:t>
      </w:r>
      <w:r>
        <w:t xml:space="preserve"> </w:t>
      </w:r>
      <w:r>
        <w:t xml:space="preserve">time-boundary firing looks, to the coordinator, exactly like an admin editing the policy at that</w:t>
      </w:r>
      <w:r>
        <w:t xml:space="preserve"> </w:t>
      </w:r>
      <w:r>
        <w:t xml:space="preserve">moment. This is the concrete reason</w:t>
      </w:r>
      <w:r>
        <w:t xml:space="preserve"> </w:t>
      </w:r>
      <w:r>
        <w:rPr>
          <w:rStyle w:val="VerbatimChar"/>
        </w:rPr>
        <w:t xml:space="preserve">evalTime</w:t>
      </w:r>
      <w:r>
        <w:t xml:space="preserve"> </w:t>
      </w:r>
      <w:r>
        <w:t xml:space="preserve">is passed explicitly: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 </w:t>
      </w:r>
      <w:r>
        <w:t xml:space="preserve">at 07:59 and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 </w:t>
      </w:r>
      <w:r>
        <w:t xml:space="preserve">at 08:00 with the identical stored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legitimately produce different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artifacts, and that difference is driven by one auditable scheduler tick, never</w:t>
      </w:r>
      <w:r>
        <w:t xml:space="preserve"> </w:t>
      </w:r>
      <w:r>
        <w:t xml:space="preserve">by an ambient clock read buried in the compiler.</w:t>
      </w:r>
    </w:p>
    <w:bookmarkEnd w:id="39"/>
    <w:bookmarkStart w:id="40" w:name="X372de172b2326e20ba4e1173868e8d8730bdbc2"/>
    <w:p>
      <w:pPr>
        <w:pStyle w:val="Heading3"/>
      </w:pPr>
      <w:r>
        <w:t xml:space="preserve">6.2 Per-app split-tunneling policy templates</w:t>
      </w:r>
    </w:p>
    <w:p>
      <w:pPr>
        <w:pStyle w:val="FirstParagraph"/>
      </w:pPr>
      <w:r>
        <w:rPr>
          <w:rStyle w:val="VerbatimChar"/>
        </w:rPr>
        <w:t xml:space="preserve">Rule</w:t>
      </w:r>
      <w:r>
        <w:t xml:space="preserve"> </w:t>
      </w:r>
      <w:r>
        <w:t xml:space="preserve">gains an optional</w:t>
      </w:r>
      <w:r>
        <w:t xml:space="preserve"> </w:t>
      </w:r>
      <w:r>
        <w:rPr>
          <w:rStyle w:val="VerbatimChar"/>
        </w:rPr>
        <w:t xml:space="preserve">AppSelector</w:t>
      </w:r>
      <w:r>
        <w:t xml:space="preserve"> </w:t>
      </w:r>
      <w:r>
        <w:t xml:space="preserve">(bundle ID / package name / process name, platform</w:t>
      </w:r>
      <w:r>
        <w:t xml:space="preserve"> </w:t>
      </w:r>
      <w:r>
        <w:t xml:space="preserve">capability already noted for Android/desktop in</w:t>
      </w:r>
      <w:r>
        <w:t xml:space="preserve"> </w:t>
      </w:r>
      <w:r>
        <w:rPr>
          <w:rStyle w:val="VerbatimChar"/>
        </w:rPr>
        <w:t xml:space="preserve">mvp2/MVP2_SECURITY_PERFORMANCE.md</w:t>
      </w:r>
      <w:r>
        <w:t xml:space="preserve">'s per-app</w:t>
      </w:r>
      <w:r>
        <w:t xml:space="preserve"> </w:t>
      </w:r>
      <w:r>
        <w:t xml:space="preserve">kill-switch scoping). A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is a named, reusable</w:t>
      </w:r>
      <w:r>
        <w:t xml:space="preserve"> </w:t>
      </w:r>
      <w:r>
        <w:rPr>
          <w:rStyle w:val="VerbatimChar"/>
        </w:rPr>
        <w:t xml:space="preserve">[]Rule</w:t>
      </w:r>
      <w:r>
        <w:t xml:space="preserve"> </w:t>
      </w:r>
      <w:r>
        <w:t xml:space="preserve">an org can apply across many</w:t>
      </w:r>
      <w:r>
        <w:t xml:space="preserve"> </w:t>
      </w:r>
      <w:r>
        <w:t xml:space="preserve">tenants/teams (e.g. "Finance app must always route through the tunnel; general browsing may</w:t>
      </w:r>
      <w:r>
        <w:t xml:space="preserve"> </w:t>
      </w:r>
      <w:r>
        <w:t xml:space="preserve">split-tunnel") — templates are stored once at the org level and referenced by tenant policy</w:t>
      </w:r>
      <w:r>
        <w:t xml:space="preserve"> </w:t>
      </w:r>
      <w:r>
        <w:rPr>
          <w:rStyle w:val="VerbatimChar"/>
        </w:rPr>
        <w:t xml:space="preserve">Spec</w:t>
      </w:r>
      <w:r>
        <w:t xml:space="preserve">s, so updating a template and re-activating cascades through the existing monotonic-version</w:t>
      </w:r>
    </w:p>
    <w:p>
      <w:pPr>
        <w:pStyle w:val="Compact"/>
        <w:numPr>
          <w:ilvl w:val="0"/>
          <w:numId w:val="1004"/>
        </w:numPr>
      </w:pPr>
      <w:r>
        <w:t xml:space="preserve">instant-rollback machinery (P5) unchanged.</w:t>
      </w:r>
    </w:p>
    <w:bookmarkEnd w:id="40"/>
    <w:bookmarkStart w:id="41" w:name="X0cbbdd2e6e526516d7d3070a7359de7e6107f7a"/>
    <w:p>
      <w:pPr>
        <w:pStyle w:val="Heading3"/>
      </w:pPr>
      <w:r>
        <w:t xml:space="preserve">6.3 DLP-style egress controls — and the honest boundary</w:t>
      </w:r>
    </w:p>
    <w:p>
      <w:pPr>
        <w:pStyle w:val="FirstParagraph"/>
      </w:pPr>
      <w:r>
        <w:t xml:space="preserve">An enterprise buyer's first ask here is usually "block egress to categories of destinations" or</w:t>
      </w:r>
      <w:r>
        <w:t xml:space="preserve"> </w:t>
      </w:r>
      <w:r>
        <w:t xml:space="preserve">"stop sensitive data leaving via the tunnel." HelixVPN can honestly deliver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without</w:t>
      </w:r>
      <w:r>
        <w:t xml:space="preserve"> </w:t>
      </w:r>
      <w:r>
        <w:t xml:space="preserve">touching the no-logging invariant; it explicitly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deliver the second at the platform</w:t>
      </w:r>
      <w:r>
        <w:t xml:space="preserve"> </w:t>
      </w:r>
      <w:r>
        <w:t xml:space="preserve">level without contradicting the entire product's privacy architecture, and this document says so</w:t>
      </w:r>
      <w:r>
        <w:t xml:space="preserve"> </w:t>
      </w:r>
      <w:r>
        <w:t xml:space="preserve">rather than hand-waving a feature that would not survive the S6 CI schema-lint: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scope (metadata/destination-level, S6-compatible):</w:t>
      </w:r>
      <w:r>
        <w:t xml:space="preserve"> </w:t>
      </w:r>
      <w:r>
        <w:t xml:space="preserve">destination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reputation</w:t>
      </w:r>
      <w:r>
        <w:t xml:space="preserve"> </w:t>
      </w:r>
      <w:r>
        <w:t xml:space="preserve">allow/deny lists (malware, known-C2, adult-content categories, etc., sourced</w:t>
      </w:r>
      <w:r>
        <w:t xml:space="preserve"> </w:t>
      </w:r>
      <w:r>
        <w:t xml:space="preserve">from a pluggable feed), evaluated at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compile step as any other</w:t>
      </w:r>
      <w:r>
        <w:t xml:space="preserve"> </w:t>
      </w:r>
      <w:r>
        <w:rPr>
          <w:rStyle w:val="VerbatimChar"/>
        </w:rPr>
        <w:t xml:space="preserve">DstSelector</w:t>
      </w:r>
      <w:r>
        <w:t xml:space="preserve"> </w:t>
      </w:r>
      <w:r>
        <w:t xml:space="preserve">match — this is structurally identical to an existing policy rule, just with a</w:t>
      </w:r>
      <w:r>
        <w:t xml:space="preserve"> </w:t>
      </w:r>
      <w:r>
        <w:t xml:space="preserve">category-to-CIDR/FQDN-set resolver feeding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svc-policy.md</w:t>
      </w:r>
      <w:r>
        <w:t xml:space="preserve"> </w:t>
      </w:r>
      <w:r>
        <w:t xml:space="preserve">§1). SNI/FQDN-based</w:t>
      </w:r>
      <w:r>
        <w:t xml:space="preserve"> </w:t>
      </w:r>
      <w:r>
        <w:t xml:space="preserve">matching for MASQUE/TLS traffic uses the</w:t>
      </w:r>
      <w:r>
        <w:t xml:space="preserve"> </w:t>
      </w:r>
      <w:r>
        <w:rPr>
          <w:b/>
          <w:bCs/>
        </w:rPr>
        <w:t xml:space="preserve">unencrypted ClientHello SNI only</w:t>
      </w:r>
      <w:r>
        <w:t xml:space="preserve"> </w:t>
      </w:r>
      <w:r>
        <w:t xml:space="preserve">(metadata,</w:t>
      </w:r>
      <w:r>
        <w:t xml:space="preserve"> </w:t>
      </w:r>
      <w:r>
        <w:t xml:space="preserve">never decrypted payload) — enforced at the edge verdict-map layer, counted (aggregate only,</w:t>
      </w:r>
      <w:r>
        <w:t xml:space="preserve"> </w:t>
      </w:r>
      <w:r>
        <w:t xml:space="preserve">§7.4), never logged per-connection.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Explicitly out of scope, with reason (§11.4.112-class structural boundary):</w:t>
      </w:r>
      <w:r>
        <w:t xml:space="preserve"> </w:t>
      </w:r>
      <w:r>
        <w:t xml:space="preserve">payload-level</w:t>
      </w:r>
      <w:r>
        <w:t xml:space="preserve"> </w:t>
      </w:r>
      <w:r>
        <w:t xml:space="preserve">content inspection (scanning file contents, matching regex against decrypted traffic,</w:t>
      </w:r>
      <w:r>
        <w:t xml:space="preserve"> </w:t>
      </w:r>
      <w:r>
        <w:t xml:space="preserve">keyword/PII detection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tunnel) is</w:t>
      </w:r>
      <w:r>
        <w:t xml:space="preserve"> </w:t>
      </w:r>
      <w:r>
        <w:rPr>
          <w:b/>
          <w:bCs/>
        </w:rPr>
        <w:t xml:space="preserve">structurally incompatible</w:t>
      </w:r>
      <w:r>
        <w:t xml:space="preserve"> </w:t>
      </w:r>
      <w:r>
        <w:t xml:space="preserve">with invariant S6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audit-and-compliance.md</w:t>
      </w:r>
      <w:r>
        <w:t xml:space="preserve"> </w:t>
      </w:r>
      <w:r>
        <w:t xml:space="preserve">§0 — "no durable connection/traffic log... by construction") and</w:t>
      </w:r>
      <w:r>
        <w:t xml:space="preserve"> </w:t>
      </w:r>
      <w:r>
        <w:t xml:space="preserve">with the WireGuard-encrypted, zero-trust data-plane architecture (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§2 principle 7 —</w:t>
      </w:r>
      <w:r>
        <w:t xml:space="preserve"> </w:t>
      </w:r>
      <w:r>
        <w:t xml:space="preserve">"no-logging by construction... a build property, not a config toggle"). Implementing it would</w:t>
      </w:r>
      <w:r>
        <w:t xml:space="preserve"> </w:t>
      </w:r>
      <w:r>
        <w:t xml:space="preserve">require either terminating and inspecting decrypted traffic at the gateway (a MITM the</w:t>
      </w:r>
      <w:r>
        <w:t xml:space="preserve"> </w:t>
      </w:r>
      <w:r>
        <w:t xml:space="preserve">architecture explicitly does not do — the gateway relays encrypted WireGuard datagrams, it</w:t>
      </w:r>
      <w:r>
        <w:t xml:space="preserve"> </w:t>
      </w:r>
      <w:r>
        <w:t xml:space="preserve">does not decrypt user payloads) or an on-device content scanner outside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's scope</w:t>
      </w:r>
      <w:r>
        <w:t xml:space="preserve"> </w:t>
      </w:r>
      <w:r>
        <w:t xml:space="preserve">entirely (a separate, customer-deployed DLP/CASB product, not a HelixVPN feature). This</w:t>
      </w:r>
      <w:r>
        <w:t xml:space="preserve"> </w:t>
      </w:r>
      <w:r>
        <w:t xml:space="preserve">boundary is a</w:t>
      </w:r>
      <w:r>
        <w:t xml:space="preserve"> </w:t>
      </w:r>
      <w:r>
        <w:rPr>
          <w:b/>
          <w:bCs/>
        </w:rPr>
        <w:t xml:space="preserve">decision register item</w:t>
      </w:r>
      <w:r>
        <w:t xml:space="preserve"> </w:t>
      </w:r>
      <w:r>
        <w:t xml:space="preserve">(§11) for the operator to confirm as final product</w:t>
      </w:r>
      <w:r>
        <w:t xml:space="preserve"> </w:t>
      </w:r>
      <w:r>
        <w:t xml:space="preserve">positioning, not an engineering gap to be silently closed later.</w:t>
      </w:r>
    </w:p>
    <w:bookmarkEnd w:id="41"/>
    <w:bookmarkStart w:id="45" w:name="X8e0a1f6bca4698fc7c6ac888fee3414964841f1"/>
    <w:p>
      <w:pPr>
        <w:pStyle w:val="Heading3"/>
      </w:pPr>
      <w:r>
        <w:t xml:space="preserve">6.4 SIEM / audit export hooks</w:t>
      </w:r>
    </w:p>
    <w:p>
      <w:pPr>
        <w:pStyle w:val="FirstParagraph"/>
      </w:pPr>
      <w:r>
        <w:t xml:space="preserve">Extends the existing export path already scoped in</w:t>
      </w:r>
      <w:r>
        <w:t xml:space="preserve"> </w:t>
      </w:r>
      <w:r>
        <w:rPr>
          <w:rStyle w:val="VerbatimChar"/>
        </w:rPr>
        <w:t xml:space="preserve">v05-security/audit-and-compliance.md</w:t>
      </w:r>
      <w:r>
        <w:t xml:space="preserve"> </w:t>
      </w:r>
      <w:r>
        <w:t xml:space="preserve">§9: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policy.activated</w:t>
      </w:r>
      <w:r>
        <w:t xml:space="preserve">, and the new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 </w:t>
      </w:r>
      <w:r>
        <w:t xml:space="preserve">stream (route conflicts,</w:t>
      </w:r>
      <w:r>
        <w:t xml:space="preserve"> </w:t>
      </w:r>
      <w:r>
        <w:t xml:space="preserve">unreachable/shadowed rules) are shipped to an external SIEM in</w:t>
      </w:r>
      <w:r>
        <w:t xml:space="preserve"> </w:t>
      </w:r>
      <w:r>
        <w:rPr>
          <w:b/>
          <w:bCs/>
        </w:rPr>
        <w:t xml:space="preserve">CEF</w:t>
      </w:r>
      <w:r>
        <w:t xml:space="preserve"> </w:t>
      </w:r>
      <w:r>
        <w:t xml:space="preserve">(Common Event Format) or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Syslog</w:t>
      </w:r>
      <w:r>
        <w:t xml:space="preserve"> </w:t>
      </w:r>
      <w:r>
        <w:t xml:space="preserve">stream, in addition to the existing webhook export. No new data is invented for</w:t>
      </w:r>
      <w:r>
        <w:t xml:space="preserve"> </w:t>
      </w:r>
      <w:r>
        <w:t xml:space="preserve">export — it is the same audit/advisory events the Console already renders, reformatted for</w:t>
      </w:r>
      <w:r>
        <w:t xml:space="preserve"> </w:t>
      </w:r>
      <w:r>
        <w:t xml:space="preserve">ingestion by Splunk/Elastic/QRadar-class tooling.</w:t>
      </w:r>
    </w:p>
    <w:p>
      <w:pPr>
        <w:pStyle w:val="BodyText"/>
      </w:pPr>
      <w:r>
        <w:drawing>
          <wp:inline>
            <wp:extent cx="5334000" cy="10977481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/tmp/.private/milosvasic/tmp.tuhsSqld4N/img/diagram_004_2c852e08a08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7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319e7dd9ed51f3769587ca0e2f2ad8ec12f706e"/>
    <w:p>
      <w:pPr>
        <w:pStyle w:val="Heading2"/>
      </w:pPr>
      <w:r>
        <w:t xml:space="preserve">7. Observability &amp; compliance</w:t>
      </w:r>
    </w:p>
    <w:bookmarkStart w:id="47" w:name="Xfe4a004b5789940e26fead8507f3ef939b6c76c"/>
    <w:p>
      <w:pPr>
        <w:pStyle w:val="Heading3"/>
      </w:pPr>
      <w:r>
        <w:t xml:space="preserve">7.1 Centralized structured logging / metrics / tracing</w:t>
      </w:r>
    </w:p>
    <w:p>
      <w:pPr>
        <w:pStyle w:val="FirstParagraph"/>
      </w:pPr>
      <w:r>
        <w:t xml:space="preserve">Extends the existing Prometheus exposition (</w:t>
      </w:r>
      <w:r>
        <w:rPr>
          <w:rStyle w:val="VerbatimChar"/>
        </w:rPr>
        <w:t xml:space="preserve">svc-telemetry.md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§9) with OpenTelemetry</w:t>
      </w:r>
      <w:r>
        <w:t xml:space="preserve"> </w:t>
      </w:r>
      <w:r>
        <w:t xml:space="preserve">distributed tracing across</w:t>
      </w:r>
      <w:r>
        <w:t xml:space="preserve"> </w:t>
      </w:r>
      <w:r>
        <w:rPr>
          <w:b/>
          <w:bCs/>
        </w:rPr>
        <w:t xml:space="preserve">control-plane operations only</w:t>
      </w:r>
      <w:r>
        <w:t xml:space="preserve">: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open→snapshot→</w:t>
      </w:r>
      <w:r>
        <w:t xml:space="preserve"> </w:t>
      </w:r>
      <w:r>
        <w:t xml:space="preserve">delta round-trips, policy compile latency, enroll-flow spans, SSO login spans. Trace spans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/</w:t>
      </w:r>
      <w:r>
        <w:rPr>
          <w:rStyle w:val="VerbatimChar"/>
        </w:rPr>
        <w:t xml:space="preserve">org_id</w:t>
      </w:r>
      <w:r>
        <w:t xml:space="preserve">/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as attributes for filtering — never a destination, byte count,</w:t>
      </w:r>
      <w:r>
        <w:t xml:space="preserve"> </w:t>
      </w:r>
      <w:r>
        <w:t xml:space="preserve">or any data shaped like a flow record (the same shape-based CI schema-lint from</w:t>
      </w:r>
      <w:r>
        <w:t xml:space="preserve"> </w:t>
      </w:r>
      <w:r>
        <w:rPr>
          <w:rStyle w:val="VerbatimChar"/>
        </w:rPr>
        <w:t xml:space="preserve">audit-and-compliance.md</w:t>
      </w:r>
      <w:r>
        <w:t xml:space="preserve"> </w:t>
      </w:r>
      <w:r>
        <w:t xml:space="preserve">§1.2 applies to trace-attribute schemas too, extended in this phase).</w:t>
      </w:r>
    </w:p>
    <w:bookmarkEnd w:id="47"/>
    <w:bookmarkStart w:id="48" w:name="Xb623766202b38056329735267cfc60d24a47dc1"/>
    <w:p>
      <w:pPr>
        <w:pStyle w:val="Heading3"/>
      </w:pPr>
      <w:r>
        <w:t xml:space="preserve">7.2 Audit-log retention &amp; tamper-evidence</w:t>
      </w:r>
    </w:p>
    <w:p>
      <w:pPr>
        <w:pStyle w:val="FirstParagraph"/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v05-security/audit-and-compliance.md</w:t>
      </w:r>
      <w:r>
        <w:t xml:space="preserve"> </w:t>
      </w:r>
      <w:r>
        <w:t xml:space="preserve">§3) is already append-only and RLS-scoped.</w:t>
      </w:r>
      <w:r>
        <w:t xml:space="preserve"> </w:t>
      </w:r>
      <w:r>
        <w:t xml:space="preserve">Phase 3 adds: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Per-org configurable retention</w:t>
      </w:r>
      <w:r>
        <w:t xml:space="preserve"> </w:t>
      </w:r>
      <w:r>
        <w:t xml:space="preserve">(default 400 days, enterprise tiers may configure longer)</w:t>
      </w:r>
      <w:r>
        <w:t xml:space="preserve"> </w:t>
      </w:r>
      <w:r>
        <w:t xml:space="preserve">enforced by a scheduled partition-drop, never a row-level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(preserves append-only</w:t>
      </w:r>
      <w:r>
        <w:t xml:space="preserve"> </w:t>
      </w:r>
      <w:r>
        <w:t xml:space="preserve">semantics up to the retention boundary).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Hash-chain tamper evidence</w:t>
      </w:r>
      <w:r>
        <w:t xml:space="preserve">: each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row stores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= SHA-256 of the</w:t>
      </w:r>
      <w:r>
        <w:t xml:space="preserve"> </w:t>
      </w:r>
      <w:r>
        <w:t xml:space="preserve">previous row's canonical serialization for that tenant; a verification job periodically</w:t>
      </w:r>
      <w:r>
        <w:t xml:space="preserve"> </w:t>
      </w:r>
      <w:r>
        <w:t xml:space="preserve">re-walks the chain and raises an alert (itself an audited, SIEM-exported event) on any</w:t>
      </w:r>
      <w:r>
        <w:t xml:space="preserve"> </w:t>
      </w:r>
      <w:r>
        <w:t xml:space="preserve">mismatch. This is a genuinely new mechanism (not present in Phase 1/2) and is the concrete</w:t>
      </w:r>
      <w:r>
        <w:t xml:space="preserve"> </w:t>
      </w:r>
      <w:r>
        <w:t xml:space="preserve">answer to "how do we prove the audit log wasn't edited after the fact."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prev_hash bytea;   </w:t>
      </w:r>
      <w:r>
        <w:rPr>
          <w:rStyle w:val="CommentTok"/>
        </w:rPr>
        <w:t xml:space="preserve">-- sha256(canonical(previous row)), per tenant chain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row_hash  bytea;   </w:t>
      </w:r>
      <w:r>
        <w:rPr>
          <w:rStyle w:val="CommentTok"/>
        </w:rPr>
        <w:t xml:space="preserve">-- sha256(canonical(this row) || prev_hash)</w:t>
      </w:r>
    </w:p>
    <w:bookmarkEnd w:id="48"/>
    <w:bookmarkStart w:id="49" w:name="X0d368f770da3cf84f81c374c46a1e50e18dc583"/>
    <w:p>
      <w:pPr>
        <w:pStyle w:val="Heading3"/>
      </w:pPr>
      <w:r>
        <w:t xml:space="preserve">7.3 SOC2 / ISO27001 / GDPR control mapping</w:t>
      </w:r>
    </w:p>
    <w:p>
      <w:pPr>
        <w:pStyle w:val="FirstParagraph"/>
      </w:pPr>
      <w:r>
        <w:t xml:space="preserve">An honest mapping table — column 4 states plainly which controls are</w:t>
      </w:r>
      <w:r>
        <w:t xml:space="preserve"> </w:t>
      </w:r>
      <w:r>
        <w:rPr>
          <w:b/>
          <w:bCs/>
        </w:rPr>
        <w:t xml:space="preserve">mechanically enforced</w:t>
      </w:r>
      <w:r>
        <w:rPr>
          <w:b/>
          <w:bCs/>
        </w:rPr>
        <w:t xml:space="preserve"> </w:t>
      </w:r>
      <w:r>
        <w:rPr>
          <w:b/>
          <w:bCs/>
        </w:rPr>
        <w:t xml:space="preserve">today</w:t>
      </w:r>
      <w:r>
        <w:t xml:space="preserve"> </w:t>
      </w:r>
      <w:r>
        <w:t xml:space="preserve">by the architecture versus which require an</w:t>
      </w:r>
      <w:r>
        <w:t xml:space="preserve"> </w:t>
      </w:r>
      <w:r>
        <w:rPr>
          <w:b/>
          <w:bCs/>
        </w:rPr>
        <w:t xml:space="preserve">external audit/certification engagement</w:t>
      </w:r>
      <w:r>
        <w:t xml:space="preserve"> </w:t>
      </w:r>
      <w:r>
        <w:t xml:space="preserve">(cross-referenced to the GA-readiness security-audit item,</w:t>
      </w:r>
      <w:r>
        <w:t xml:space="preserve"> </w:t>
      </w:r>
      <w:r>
        <w:rPr>
          <w:rStyle w:val="VerbatimChar"/>
        </w:rPr>
        <w:t xml:space="preserve">docs/research/mvp_final/MVP_FINAL_GA_READINESS.md</w:t>
      </w:r>
      <w:r>
        <w:t xml:space="preserve"> </w:t>
      </w:r>
      <w:r>
        <w:t xml:space="preserve">§2, so this document does not duplicate that gate):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Example control</w:t>
            </w:r>
          </w:p>
        </w:tc>
        <w:tc>
          <w:tcPr/>
          <w:p>
            <w:pPr>
              <w:pStyle w:val="Compact"/>
            </w:pPr>
            <w:r>
              <w:t xml:space="preserve">HelixVPN mechanism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SOC2 CC6 (logical access)</w:t>
            </w:r>
          </w:p>
        </w:tc>
        <w:tc>
          <w:tcPr/>
          <w:p>
            <w:pPr>
              <w:pStyle w:val="Compact"/>
            </w:pPr>
            <w:r>
              <w:t xml:space="preserve">least-privilege access to production data</w:t>
            </w:r>
          </w:p>
        </w:tc>
        <w:tc>
          <w:tcPr/>
          <w:p>
            <w:pPr>
              <w:pStyle w:val="Compact"/>
            </w:pPr>
            <w:r>
              <w:t xml:space="preserve">RBAC (§3.3), RLS-forced tenant isolation</w:t>
            </w:r>
          </w:p>
        </w:tc>
        <w:tc>
          <w:tcPr/>
          <w:p>
            <w:pPr>
              <w:pStyle w:val="Compact"/>
            </w:pPr>
            <w:r>
              <w:t xml:space="preserve">Mechanically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SOC2 CC7 (monitoring)</w:t>
            </w:r>
          </w:p>
        </w:tc>
        <w:tc>
          <w:tcPr/>
          <w:p>
            <w:pPr>
              <w:pStyle w:val="Compact"/>
            </w:pPr>
            <w:r>
              <w:t xml:space="preserve">detect and respond to anomalies</w:t>
            </w:r>
          </w:p>
        </w:tc>
        <w:tc>
          <w:tcPr/>
          <w:p>
            <w:pPr>
              <w:pStyle w:val="Compact"/>
            </w:pPr>
            <w:r>
              <w:t xml:space="preserve">audit_events + tamper-evidence (§7.2) + SIEM export (§6.4)</w:t>
            </w:r>
          </w:p>
        </w:tc>
        <w:tc>
          <w:tcPr/>
          <w:p>
            <w:pPr>
              <w:pStyle w:val="Compact"/>
            </w:pPr>
            <w:r>
              <w:t xml:space="preserve">Mechanically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 A.8 (asset mgmt)</w:t>
            </w:r>
          </w:p>
        </w:tc>
        <w:tc>
          <w:tcPr/>
          <w:p>
            <w:pPr>
              <w:pStyle w:val="Compact"/>
            </w:pPr>
            <w:r>
              <w:t xml:space="preserve">device inventory +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service device table + revoke-cascade</w:t>
            </w:r>
          </w:p>
        </w:tc>
        <w:tc>
          <w:tcPr/>
          <w:p>
            <w:pPr>
              <w:pStyle w:val="Compact"/>
            </w:pPr>
            <w:r>
              <w:t xml:space="preserve">Mechanically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27001 A.9 (access control)</w:t>
            </w:r>
          </w:p>
        </w:tc>
        <w:tc>
          <w:tcPr/>
          <w:p>
            <w:pPr>
              <w:pStyle w:val="Compact"/>
            </w:pPr>
            <w:r>
              <w:t xml:space="preserve">joiner/mover/leaver process</w:t>
            </w:r>
          </w:p>
        </w:tc>
        <w:tc>
          <w:tcPr/>
          <w:p>
            <w:pPr>
              <w:pStyle w:val="Compact"/>
            </w:pPr>
            <w:r>
              <w:t xml:space="preserve">SCIM lifecycle (§3.5)</w:t>
            </w:r>
          </w:p>
        </w:tc>
        <w:tc>
          <w:tcPr/>
          <w:p>
            <w:pPr>
              <w:pStyle w:val="Compact"/>
            </w:pPr>
            <w:r>
              <w:t xml:space="preserve">Mechanically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Art. 5(1)(c) data minimisation</w:t>
            </w:r>
          </w:p>
        </w:tc>
        <w:tc>
          <w:tcPr/>
          <w:p>
            <w:pPr>
              <w:pStyle w:val="Compact"/>
            </w:pPr>
            <w:r>
              <w:t xml:space="preserve">collect no more than necessary</w:t>
            </w:r>
          </w:p>
        </w:tc>
        <w:tc>
          <w:tcPr/>
          <w:p>
            <w:pPr>
              <w:pStyle w:val="Compact"/>
            </w:pPr>
            <w:r>
              <w:t xml:space="preserve">no-logging-as-code (S6) — architecturally the strongest claim in this table</w:t>
            </w:r>
          </w:p>
        </w:tc>
        <w:tc>
          <w:tcPr/>
          <w:p>
            <w:pPr>
              <w:pStyle w:val="Compact"/>
            </w:pPr>
            <w:r>
              <w:t xml:space="preserve">Mechanically enforced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Art. 17 (erasure)</w:t>
            </w:r>
          </w:p>
        </w:tc>
        <w:tc>
          <w:tcPr/>
          <w:p>
            <w:pPr>
              <w:pStyle w:val="Compact"/>
            </w:pPr>
            <w:r>
              <w:t xml:space="preserve">user can request data deletion</w:t>
            </w:r>
          </w:p>
        </w:tc>
        <w:tc>
          <w:tcPr/>
          <w:p>
            <w:pPr>
              <w:pStyle w:val="Compact"/>
            </w:pPr>
            <w:r>
              <w:t xml:space="preserve">anonymous-account model (no PII by default); OIDC/SAML-linked accounts require an erasure runbook (Console "purge user" removes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/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PII fields, retains anonymized audit skeleton)</w:t>
            </w:r>
          </w:p>
        </w:tc>
        <w:tc>
          <w:tcPr/>
          <w:p>
            <w:pPr>
              <w:pStyle w:val="Compact"/>
            </w:pPr>
            <w:r>
              <w:t xml:space="preserve">Partially mechanized — erasure</w:t>
            </w:r>
            <w:r>
              <w:t xml:space="preserve"> </w:t>
            </w:r>
            <w:r>
              <w:rPr>
                <w:b/>
                <w:bCs/>
              </w:rPr>
              <w:t xml:space="preserve">runbook</w:t>
            </w:r>
            <w:r>
              <w:t xml:space="preserve"> </w:t>
            </w:r>
            <w:r>
              <w:t xml:space="preserve">is a GA-readiness deliverable, not yet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SOC2 / ISO27001 (certification itself)</w:t>
            </w:r>
          </w:p>
        </w:tc>
        <w:tc>
          <w:tcPr/>
          <w:p>
            <w:pPr>
              <w:pStyle w:val="Compact"/>
            </w:pPr>
            <w:r>
              <w:t xml:space="preserve">an accredited third party attests to the above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mechanically achievable by code.</w:t>
            </w:r>
            <w:r>
              <w:t xml:space="preserve"> </w:t>
            </w:r>
            <w:r>
              <w:t xml:space="preserve">Requires an actual auditor engagement — tracked as a decision item (§11) and as a GA-readiness gate, never claimed here as "done."</w:t>
            </w:r>
          </w:p>
        </w:tc>
      </w:tr>
    </w:tbl>
    <w:bookmarkEnd w:id="49"/>
    <w:bookmarkStart w:id="50" w:name="X622d26fb5945be5d2cb9535440b357001c527c7"/>
    <w:p>
      <w:pPr>
        <w:pStyle w:val="Heading3"/>
      </w:pPr>
      <w:r>
        <w:t xml:space="preserve">7.4 Usage/billing analytics</w:t>
      </w:r>
    </w:p>
    <w:p>
      <w:pPr>
        <w:pStyle w:val="FirstParagraph"/>
      </w:pPr>
      <w:r>
        <w:t xml:space="preserve">Reporting views over</w:t>
      </w:r>
      <w:r>
        <w:t xml:space="preserve"> </w:t>
      </w:r>
      <w:r>
        <w:rPr>
          <w:rStyle w:val="VerbatimChar"/>
        </w:rPr>
        <w:t xml:space="preserve">usage_counter</w:t>
      </w:r>
      <w:r>
        <w:t xml:space="preserve"> </w:t>
      </w:r>
      <w:r>
        <w:t xml:space="preserve">(§3.4) and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/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(§8.1), exposed in Console</w:t>
      </w:r>
      <w:r>
        <w:t xml:space="preserve"> </w:t>
      </w:r>
      <w:r>
        <w:t xml:space="preserve">for org-admins and billing-admins (§3.3): daily/monthly bandwidth per tenant/device, active-device</w:t>
      </w:r>
      <w:r>
        <w:t xml:space="preserve"> </w:t>
      </w:r>
      <w:r>
        <w:t xml:space="preserve">counts vs. plan entitlement, near-limit alerts. All derived from data that already exists;</w:t>
      </w:r>
      <w:r>
        <w:t xml:space="preserve"> </w:t>
      </w:r>
      <w:r>
        <w:t xml:space="preserve">no new metering mechanism.</w:t>
      </w:r>
    </w:p>
    <w:bookmarkEnd w:id="50"/>
    <w:bookmarkStart w:id="51" w:name="X340055f40f2f578be447234456d7febad7d71d2"/>
    <w:p>
      <w:pPr>
        <w:pStyle w:val="Heading3"/>
      </w:pPr>
      <w:r>
        <w:t xml:space="preserve">7.5 SLA definitions &amp; status-page tooling</w:t>
      </w:r>
    </w:p>
    <w:p>
      <w:pPr>
        <w:pStyle w:val="FirstParagraph"/>
      </w:pPr>
      <w:r>
        <w:t xml:space="preserve">Concrete, measurable SLA targets (final numbers are a business decision, §11):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Control-plane API availability</w:t>
            </w:r>
          </w:p>
        </w:tc>
        <w:tc>
          <w:tcPr/>
          <w:p>
            <w:pPr>
              <w:pStyle w:val="Compact"/>
            </w:pPr>
            <w:r>
              <w:t xml:space="preserve">Data-plane (gateway) availability</w:t>
            </w:r>
          </w:p>
        </w:tc>
        <w:tc>
          <w:tcPr/>
          <w:p>
            <w:pPr>
              <w:pStyle w:val="Compact"/>
            </w:pPr>
            <w:r>
              <w:t xml:space="preserve">Measured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 (no SLA)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t xml:space="preserve">best-effort</w:t>
            </w:r>
          </w:p>
        </w:tc>
        <w:tc>
          <w:tcPr/>
          <w:p>
            <w:pPr>
              <w:pStyle w:val="Compact"/>
            </w:pPr>
            <w:r>
              <w:t xml:space="preserve">operator's own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— Team</w:t>
            </w:r>
          </w:p>
        </w:tc>
        <w:tc>
          <w:tcPr/>
          <w:p>
            <w:pPr>
              <w:pStyle w:val="Compact"/>
            </w:pPr>
            <w:r>
              <w:t xml:space="preserve">99.5% monthly</w:t>
            </w:r>
          </w:p>
        </w:tc>
        <w:tc>
          <w:tcPr/>
          <w:p>
            <w:pPr>
              <w:pStyle w:val="Compact"/>
            </w:pPr>
            <w:r>
              <w:t xml:space="preserve">99.5% per-region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/readyz</w:t>
            </w:r>
            <w:r>
              <w:t xml:space="preserve">/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uptime (</w:t>
            </w:r>
            <w:r>
              <w:rPr>
                <w:rStyle w:val="VerbatimChar"/>
              </w:rPr>
              <w:t xml:space="preserve">svc-telemetry.md</w:t>
            </w:r>
            <w:r>
              <w:t xml:space="preserve"> </w:t>
            </w:r>
            <w:r>
              <w:t xml:space="preserve">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— Enterprise</w:t>
            </w:r>
          </w:p>
        </w:tc>
        <w:tc>
          <w:tcPr/>
          <w:p>
            <w:pPr>
              <w:pStyle w:val="Compact"/>
            </w:pPr>
            <w:r>
              <w:t xml:space="preserve">99.9% monthly</w:t>
            </w:r>
          </w:p>
        </w:tc>
        <w:tc>
          <w:tcPr/>
          <w:p>
            <w:pPr>
              <w:pStyle w:val="Compact"/>
            </w:pPr>
            <w:r>
              <w:t xml:space="preserve">99.9% per-region, multi-region failover counted</w:t>
            </w:r>
          </w:p>
        </w:tc>
        <w:tc>
          <w:tcPr/>
          <w:p>
            <w:pPr>
              <w:pStyle w:val="Compact"/>
            </w:pPr>
            <w:r>
              <w:t xml:space="preserve">same, + region-failover chaos-test evidence (§5.6, §10)</w:t>
            </w:r>
          </w:p>
        </w:tc>
      </w:tr>
    </w:tbl>
    <w:p>
      <w:pPr>
        <w:pStyle w:val="BodyText"/>
      </w:pPr>
      <w:r>
        <w:t xml:space="preserve">A public status page (self-hosted Upptime/Cachet-class static page, or a hosted status-page</w:t>
      </w:r>
      <w:r>
        <w:t xml:space="preserve"> </w:t>
      </w:r>
      <w:r>
        <w:t xml:space="preserve">provider) surfaces the same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signal already emitted by every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 — no new</w:t>
      </w:r>
      <w:r>
        <w:t xml:space="preserve"> </w:t>
      </w:r>
      <w:r>
        <w:t xml:space="preserve">health-check mechanism, just a public-facing aggregation of an existing one.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fe66836bf2620a430f9b394e11d7a65e014d6b0"/>
    <w:p>
      <w:pPr>
        <w:pStyle w:val="Heading2"/>
      </w:pPr>
      <w:r>
        <w:t xml:space="preserve">8. Marketplace/billing</w:t>
      </w:r>
    </w:p>
    <w:bookmarkStart w:id="53" w:name="X8e5fc8cc555da5a7735d764d9f55056bd45e392"/>
    <w:p>
      <w:pPr>
        <w:pStyle w:val="Heading3"/>
      </w:pPr>
      <w:r>
        <w:t xml:space="preserve">8.1 Subscription tiers on the existing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schema</w:t>
      </w:r>
    </w:p>
    <w:p>
      <w:pPr>
        <w:pStyle w:val="FirstParagraph"/>
      </w:pPr>
      <w:r>
        <w:t xml:space="preserve">Directly extends</w:t>
      </w:r>
      <w:r>
        <w:t xml:space="preserve"> </w:t>
      </w:r>
      <w:r>
        <w:rPr>
          <w:rStyle w:val="VerbatimChar"/>
        </w:rPr>
        <w:t xml:space="preserve">HVPN-P3-240</w:t>
      </w:r>
      <w:r>
        <w:t xml:space="preserve">'s</w:t>
      </w:r>
      <w:r>
        <w:t xml:space="preserve"> </w:t>
      </w:r>
      <w:r>
        <w:rPr>
          <w:rStyle w:val="VerbatimChar"/>
        </w:rPr>
        <w:t xml:space="preserve">plan</w:t>
      </w:r>
      <w:r>
        <w:t xml:space="preserve">/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mvp/final/09-phase3-reach-wbs.md</w:t>
      </w:r>
      <w:r>
        <w:t xml:space="preserve"> </w:t>
      </w:r>
      <w:r>
        <w:t xml:space="preserve">§9) — this document does not re-define billing schema, it</w:t>
      </w:r>
      <w:r>
        <w:t xml:space="preserve"> </w:t>
      </w:r>
      <w:r>
        <w:t xml:space="preserve">adds organization-level rollup and tier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max_networks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max_bytes_mo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 (Free)</w:t>
            </w:r>
          </w:p>
        </w:tc>
        <w:tc>
          <w:tcPr/>
          <w:p>
            <w:pPr>
              <w:pStyle w:val="Compact"/>
            </w:pPr>
            <w:r>
              <w:t xml:space="preserve">unlimited (operator's own hardware)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NULL (unlimited)</w:t>
            </w:r>
          </w:p>
        </w:tc>
        <w:tc>
          <w:tcPr/>
          <w:p>
            <w:pPr>
              <w:pStyle w:val="Compact"/>
            </w:pPr>
            <w:r>
              <w:t xml:space="preserve">homelab / single self-hoster, billing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  <w:tc>
          <w:tcPr/>
          <w:p>
            <w:pPr>
              <w:pStyle w:val="Compact"/>
            </w:pPr>
            <w:r>
              <w:t xml:space="preserve">small company, self-serve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 TB</w:t>
            </w:r>
          </w:p>
        </w:tc>
        <w:tc>
          <w:tcPr/>
          <w:p>
            <w:pPr>
              <w:pStyle w:val="Compact"/>
            </w:pPr>
            <w:r>
              <w:t xml:space="preserve">mid-size, self-serve or sales-assisted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  <w:tc>
          <w:tcPr/>
          <w:p>
            <w:pPr>
              <w:pStyle w:val="Compact"/>
            </w:pPr>
            <w:r>
              <w:t xml:space="preserve">negotiated</w:t>
            </w:r>
          </w:p>
        </w:tc>
        <w:tc>
          <w:tcPr/>
          <w:p>
            <w:pPr>
              <w:pStyle w:val="Compact"/>
            </w:pPr>
            <w:r>
              <w:t xml:space="preserve">sales-assisted, multi-region, SLA-backed</w:t>
            </w:r>
          </w:p>
        </w:tc>
      </w:tr>
    </w:tbl>
    <w:p>
      <w:pPr>
        <w:pStyle w:val="BodyText"/>
      </w:pPr>
      <w:r>
        <w:t xml:space="preserve">Exact price points are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specified here — that is a go-to-market decision, not</w:t>
      </w:r>
      <w:r>
        <w:t xml:space="preserve"> </w:t>
      </w:r>
      <w:r>
        <w:t xml:space="preserve">an engineering one (§11, and cross-referenced in</w:t>
      </w:r>
      <w:r>
        <w:t xml:space="preserve"> </w:t>
      </w:r>
      <w:r>
        <w:rPr>
          <w:rStyle w:val="VerbatimChar"/>
        </w:rPr>
        <w:t xml:space="preserve">MVP_FINAL_GA_READINESS.md</w:t>
      </w:r>
      <w:r>
        <w:t xml:space="preserve"> </w:t>
      </w:r>
      <w:r>
        <w:t xml:space="preserve">§3.1).</w:t>
      </w:r>
    </w:p>
    <w:bookmarkEnd w:id="53"/>
    <w:bookmarkStart w:id="54" w:name="X46874818cd789ae248f7a5c0036a3c8f72abd6f"/>
    <w:p>
      <w:pPr>
        <w:pStyle w:val="Heading3"/>
      </w:pPr>
      <w:r>
        <w:t xml:space="preserve">8.2 Usage-based billing hooks</w:t>
      </w:r>
    </w:p>
    <w:p>
      <w:pPr>
        <w:pStyle w:val="SourceCode"/>
      </w:pPr>
      <w:r>
        <w:rPr>
          <w:rStyle w:val="CommentTok"/>
        </w:rPr>
        <w:t xml:space="preserve">// internal/billing/report.go — a daily rollup job over the EXISTING usage_counter table</w:t>
      </w:r>
      <w:r>
        <w:br/>
      </w:r>
      <w:r>
        <w:rPr>
          <w:rStyle w:val="CommentTok"/>
        </w:rPr>
        <w:t xml:space="preserve">// (no new per-flow data). Emits one event per tenant per day; the payment-processor</w:t>
      </w:r>
      <w:r>
        <w:br/>
      </w:r>
      <w:r>
        <w:rPr>
          <w:rStyle w:val="CommentTok"/>
        </w:rPr>
        <w:t xml:space="preserve">// adapter is pluggable and OFF by default (preserves E24's "billing OFF by default").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UsageReporter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ReportDaily reads yesterday's usage_counter rows, aggregates per subscription,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emits billing.usage.reported{tenant_id, day, rx_bytes, tx_bytes, device_count}.</w:t>
      </w:r>
      <w:r>
        <w:br/>
      </w:r>
      <w:r>
        <w:rPr>
          <w:rStyle w:val="NormalTok"/>
        </w:rPr>
        <w:t xml:space="preserve">    ReportDaily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Stripe-class adapter; swappable, never mandatory</w:t>
      </w:r>
      <w:r>
        <w:br/>
      </w:r>
      <w:r>
        <w:rPr>
          <w:rStyle w:val="NormalTok"/>
        </w:rPr>
        <w:t xml:space="preserve">    ReportUsage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UsageEvent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X8257b61c98db775e3031aa4c9e40f945bec06a4"/>
    <w:p>
      <w:pPr>
        <w:pStyle w:val="Heading3"/>
      </w:pPr>
      <w:r>
        <w:t xml:space="preserve">8.3 Self-serve vs. enterprise-sales-assisted signup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Self-serve</w:t>
      </w:r>
      <w:r>
        <w:t xml:space="preserve">: Console signup flow, SAML/OIDC or anonymous-account creation, payment adapter</w:t>
      </w:r>
      <w:r>
        <w:t xml:space="preserve"> </w:t>
      </w:r>
      <w:r>
        <w:t xml:space="preserve">charges a card on file for Team/Business tiers — same enrollment path already specified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CreateAccount</w:t>
      </w:r>
      <w:r>
        <w:t xml:space="preserve">/</w:t>
      </w:r>
      <w:r>
        <w:rPr>
          <w:rStyle w:val="VerbatimChar"/>
        </w:rPr>
        <w:t xml:space="preserve">LoginAccount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§1.1), with a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selected at signup.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Enterprise-sales-assisted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helixvpnctl org create --plan enterprise --contract-ref &lt;id&gt;</w:t>
      </w:r>
      <w:r>
        <w:t xml:space="preserve"> </w:t>
      </w:r>
      <w:r>
        <w:t xml:space="preserve">provisions the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row + tenant(s) + a negotiated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row with no</w:t>
      </w:r>
      <w:r>
        <w:t xml:space="preserve"> </w:t>
      </w:r>
      <w:r>
        <w:t xml:space="preserve">self-serve payment step; identical schema underneath, different provisioning entry point.</w:t>
      </w:r>
    </w:p>
    <w:bookmarkEnd w:id="55"/>
    <w:bookmarkStart w:id="56" w:name="Xe617a40bc742657a55f31fb855dca2b1028dba9"/>
    <w:p>
      <w:pPr>
        <w:pStyle w:val="Heading3"/>
      </w:pPr>
      <w:r>
        <w:t xml:space="preserve">8.4 Partner/reseller model</w:t>
      </w:r>
    </w:p>
    <w:p>
      <w:pPr>
        <w:pStyle w:val="FirstParagraph"/>
      </w:pPr>
      <w:r>
        <w:rPr>
          <w:rStyle w:val="VerbatimChar"/>
        </w:rPr>
        <w:t xml:space="preserve">organizations.parent_org_id</w:t>
      </w:r>
      <w:r>
        <w:t xml:space="preserve"> </w:t>
      </w:r>
      <w:r>
        <w:t xml:space="preserve">(§3.1) lets a reseller org own several</w:t>
      </w:r>
      <w:r>
        <w:t xml:space="preserve"> </w:t>
      </w:r>
      <w:r>
        <w:rPr>
          <w:rStyle w:val="VerbatimChar"/>
        </w:rPr>
        <w:t xml:space="preserve">sub_org</w:t>
      </w:r>
      <w:r>
        <w:t xml:space="preserve">-kind</w:t>
      </w:r>
      <w:r>
        <w:t xml:space="preserve"> </w:t>
      </w:r>
      <w:r>
        <w:t xml:space="preserve">organizations, each with its own tenants. A reseller admin's RBAC scope (§3.3) is bound to</w:t>
      </w:r>
      <w:r>
        <w:t xml:space="preserve"> </w:t>
      </w:r>
      <w:r>
        <w:rPr>
          <w:rStyle w:val="VerbatimChar"/>
        </w:rPr>
        <w:t xml:space="preserve">scope_type='tenant'</w:t>
      </w:r>
      <w:r>
        <w:t xml:space="preserve"> </w:t>
      </w:r>
      <w:r>
        <w:t xml:space="preserve">rows</w:t>
      </w:r>
      <w:r>
        <w:t xml:space="preserve"> </w:t>
      </w:r>
      <w:r>
        <w:rPr>
          <w:b/>
          <w:bCs/>
        </w:rPr>
        <w:t xml:space="preserve">only within tenants belonging to its own sub-orgs' billing rollup</w:t>
      </w:r>
      <w:r>
        <w:t xml:space="preserve"> </w:t>
      </w:r>
      <w:r>
        <w:t xml:space="preserve">— it sees</w:t>
      </w:r>
      <w:r>
        <w:t xml:space="preserve"> </w:t>
      </w:r>
      <w:r>
        <w:rPr>
          <w:rStyle w:val="VerbatimChar"/>
        </w:rPr>
        <w:t xml:space="preserve">org_usage_rollup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rows for its sub-orgs, never those sub-orgs'</w:t>
      </w:r>
      <w:r>
        <w:t xml:space="preserve"> </w:t>
      </w:r>
      <w:r>
        <w:t xml:space="preserve">device/policy/audit data (principle 11, §2). This mirrors exactly how a real MSP contract works:</w:t>
      </w:r>
      <w:r>
        <w:t xml:space="preserve"> </w:t>
      </w:r>
      <w:r>
        <w:t xml:space="preserve">the reseller is accountable for billing and provisioning, the end-customer keeps operational</w:t>
      </w:r>
      <w:r>
        <w:t xml:space="preserve"> </w:t>
      </w:r>
      <w:r>
        <w:t xml:space="preserve">control and privacy of their own network.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d7fee6b6fb494d665bea605c304018a0b62f06c"/>
    <w:p>
      <w:pPr>
        <w:pStyle w:val="Heading2"/>
      </w:pPr>
      <w:r>
        <w:t xml:space="preserve">9. Advanced networking</w:t>
      </w:r>
    </w:p>
    <w:bookmarkStart w:id="58" w:name="Xc2552967dd2345909354816844de831e21d3a3a"/>
    <w:p>
      <w:pPr>
        <w:pStyle w:val="Heading3"/>
      </w:pPr>
      <w:r>
        <w:t xml:space="preserve">9.1 Site-to-site mesh</w:t>
      </w:r>
    </w:p>
    <w:p>
      <w:pPr>
        <w:pStyle w:val="FirstParagraph"/>
      </w:pPr>
      <w:r>
        <w:t xml:space="preserve">The policy compiler already resolves arbitrary</w:t>
      </w:r>
      <w:r>
        <w:t xml:space="preserve"> </w:t>
      </w:r>
      <w:r>
        <w:rPr>
          <w:rStyle w:val="VerbatimChar"/>
        </w:rPr>
        <w:t xml:space="preserve">src_group → dst_selector</w:t>
      </w:r>
      <w:r>
        <w:t xml:space="preserve"> </w:t>
      </w:r>
      <w:r>
        <w:t xml:space="preserve">grants across the</w:t>
      </w:r>
      <w:r>
        <w:t xml:space="preserve"> </w:t>
      </w:r>
      <w:r>
        <w:t xml:space="preserve">topology graph (</w:t>
      </w:r>
      <w:r>
        <w:rPr>
          <w:rStyle w:val="VerbatimChar"/>
        </w:rPr>
        <w:t xml:space="preserve">svc-policy.md</w:t>
      </w:r>
      <w:r>
        <w:t xml:space="preserve"> </w:t>
      </w:r>
      <w:r>
        <w:t xml:space="preserve">§1, P1 "default-deny, need-to-know"), and connectors are already</w:t>
      </w:r>
      <w:r>
        <w:t xml:space="preserve"> </w:t>
      </w:r>
      <w:r>
        <w:t xml:space="preserve">just devices in that graph that advertise prefixes.</w:t>
      </w:r>
      <w:r>
        <w:t xml:space="preserve"> </w:t>
      </w:r>
      <w:r>
        <w:rPr>
          <w:b/>
          <w:bCs/>
        </w:rPr>
        <w:t xml:space="preserve">Site-to-site mesh requires no new compiler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— it is the Console UX + a policy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SrcGroup</w:t>
      </w:r>
      <w:r>
        <w:t xml:space="preserve"> </w:t>
      </w:r>
      <w:r>
        <w:t xml:space="preserve">resolves to Connector-A's</w:t>
      </w:r>
      <w:r>
        <w:t xml:space="preserve"> </w:t>
      </w:r>
      <w:r>
        <w:t xml:space="preserve">device set and whose</w:t>
      </w:r>
      <w:r>
        <w:t xml:space="preserve"> </w:t>
      </w:r>
      <w:r>
        <w:rPr>
          <w:rStyle w:val="VerbatimChar"/>
        </w:rPr>
        <w:t xml:space="preserve">DstSelector</w:t>
      </w:r>
      <w:r>
        <w:t xml:space="preserve"> </w:t>
      </w:r>
      <w:r>
        <w:t xml:space="preserve">resolves to Connector-B's advertised prefixes (and the</w:t>
      </w:r>
      <w:r>
        <w:t xml:space="preserve"> </w:t>
      </w:r>
      <w:r>
        <w:t xml:space="preserve">symmetric rule the other direction), which the existing engine already compiles into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/</w:t>
      </w:r>
      <w:r>
        <w:rPr>
          <w:rStyle w:val="VerbatimChar"/>
        </w:rPr>
        <w:t xml:space="preserve">VerdictMap</w:t>
      </w:r>
      <w:r>
        <w:t xml:space="preserve"> </w:t>
      </w:r>
      <w:r>
        <w:t xml:space="preserve">unchanged. Phase 3's actual deliverable here is the</w:t>
      </w:r>
      <w:r>
        <w:t xml:space="preserve"> </w:t>
      </w:r>
      <w:r>
        <w:rPr>
          <w:b/>
          <w:bCs/>
        </w:rPr>
        <w:t xml:space="preserve">Console workflow</w:t>
      </w:r>
      <w:r>
        <w:t xml:space="preserve"> </w:t>
      </w:r>
      <w:r>
        <w:t xml:space="preserve">that makes cross-network access grants a first-class, auditable, two-click operation instead of</w:t>
      </w:r>
      <w:r>
        <w:t xml:space="preserve"> </w:t>
      </w:r>
      <w:r>
        <w:t xml:space="preserve">requiring hand-written policy JSON — and, where the two sites are in an org's different tenants</w:t>
      </w:r>
      <w:r>
        <w:t xml:space="preserve"> </w:t>
      </w:r>
      <w:r>
        <w:t xml:space="preserve">(§3.2), an explicit</w:t>
      </w:r>
      <w:r>
        <w:t xml:space="preserve"> </w:t>
      </w:r>
      <w:r>
        <w:rPr>
          <w:b/>
          <w:bCs/>
        </w:rPr>
        <w:t xml:space="preserve">cross-tenant grant object</w:t>
      </w:r>
      <w:r>
        <w:t xml:space="preserve"> </w:t>
      </w:r>
      <w:r>
        <w:t xml:space="preserve">that both tenant admins must approve (never an</w:t>
      </w:r>
      <w:r>
        <w:t xml:space="preserve"> </w:t>
      </w:r>
      <w:r>
        <w:t xml:space="preserve">implicit consequence of shared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).</w:t>
      </w:r>
    </w:p>
    <w:bookmarkEnd w:id="58"/>
    <w:bookmarkStart w:id="59" w:name="Xc0ee4370b7789e4a202c08053d9dcb107605305"/>
    <w:p>
      <w:pPr>
        <w:pStyle w:val="Heading3"/>
      </w:pPr>
      <w:r>
        <w:t xml:space="preserve">9.2 IPv6 / dual-stack support</w:t>
      </w:r>
    </w:p>
    <w:p>
      <w:pPr>
        <w:pStyle w:val="FirstParagraph"/>
      </w:pPr>
      <w:r>
        <w:t xml:space="preserve">The overlay is already IPv6-native (</w:t>
      </w:r>
      <w:r>
        <w:rPr>
          <w:rStyle w:val="VerbatimChar"/>
        </w:rPr>
        <w:t xml:space="preserve">ULA /48</w:t>
      </w:r>
      <w:r>
        <w:t xml:space="preserve"> </w:t>
      </w:r>
      <w:r>
        <w:t xml:space="preserve">per tenant,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§3.4). Phase 3 adds: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dual-stack privacy-exit egress — a client using the gateway as a full-tunnel internet exit gets</w:t>
      </w:r>
      <w:r>
        <w:t xml:space="preserve"> </w:t>
      </w:r>
      <w:r>
        <w:t xml:space="preserve">both an IPv6 and an IPv4 egress path (today's spec is silent on whether the exit itself is</w:t>
      </w:r>
      <w:r>
        <w:t xml:space="preserve"> </w:t>
      </w:r>
      <w:r>
        <w:t xml:space="preserve">dual-stack; Phase 3 makes it explicit and required for the enterprise tier);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native</w:t>
      </w:r>
      <w:r>
        <w:t xml:space="preserve"> </w:t>
      </w:r>
      <w:r>
        <w:t xml:space="preserve">(non-4via6) IPv6 LAN advertisement for connectors whose private network is already IPv6-addressed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advertised_prefixes.cidr</w:t>
      </w:r>
      <w:r>
        <w:t xml:space="preserve"> </w:t>
      </w:r>
      <w:r>
        <w:t xml:space="preserve">already accepts any CIDR, so this is a validation-and-UX change</w:t>
      </w:r>
      <w:r>
        <w:t xml:space="preserve"> </w:t>
      </w:r>
      <w:r>
        <w:t xml:space="preserve">(don't force a v6-native LAN through the 4via6 v4-collision-avoidance path meant for overlapping</w:t>
      </w:r>
      <w:r>
        <w:t xml:space="preserve"> </w:t>
      </w:r>
      <w:r>
        <w:t xml:space="preserve">RFC1918 ranges), not a schema change.</w:t>
      </w:r>
    </w:p>
    <w:bookmarkEnd w:id="59"/>
    <w:bookmarkStart w:id="60" w:name="X9abf82d81eb27203cf322d4aa2ea93643b6f269"/>
    <w:p>
      <w:pPr>
        <w:pStyle w:val="Heading3"/>
      </w:pPr>
      <w:r>
        <w:t xml:space="preserve">9.3 QoS / traffic shaping</w:t>
      </w:r>
    </w:p>
    <w:p>
      <w:pPr>
        <w:pStyle w:val="FirstParagraph"/>
      </w:pPr>
      <w:r>
        <w:t xml:space="preserve">Per-plan bandwidth ceilings (</w:t>
      </w:r>
      <w:r>
        <w:rPr>
          <w:rStyle w:val="VerbatimChar"/>
        </w:rPr>
        <w:t xml:space="preserve">plan.max_bytes_mo</w:t>
      </w:r>
      <w:r>
        <w:t xml:space="preserve">, already in the schema) are complemented by</w:t>
      </w:r>
      <w:r>
        <w:t xml:space="preserve"> </w:t>
      </w:r>
      <w:r>
        <w:rPr>
          <w:b/>
          <w:bCs/>
        </w:rPr>
        <w:t xml:space="preserve">per-tenant rate limiting at the edge</w:t>
      </w:r>
      <w:r>
        <w:t xml:space="preserve"> </w:t>
      </w:r>
      <w:r>
        <w:t xml:space="preserve">(token-bucket shaping in the Rust data-plane edge,</w:t>
      </w:r>
      <w:r>
        <w:t xml:space="preserve"> </w:t>
      </w:r>
      <w:r>
        <w:t xml:space="preserve">consistent with the existing "counters only, never content" telemetry stance) so tenants sharing</w:t>
      </w:r>
      <w:r>
        <w:t xml:space="preserve"> </w:t>
      </w:r>
      <w:r>
        <w:t xml:space="preserve">a gateway get fair queueing rather than one noisy tenant starving others. This is a rate/metadata</w:t>
      </w:r>
      <w:r>
        <w:t xml:space="preserve"> </w:t>
      </w:r>
      <w:r>
        <w:t xml:space="preserve">mechanism only — no packet content is inspected to classify traffic; shaping is per-tenant and</w:t>
      </w:r>
      <w:r>
        <w:t xml:space="preserve"> </w:t>
      </w:r>
      <w:r>
        <w:t xml:space="preserve">optionally per-connector, never per-application-content.</w:t>
      </w:r>
    </w:p>
    <w:bookmarkEnd w:id="60"/>
    <w:bookmarkStart w:id="61" w:name="Xc4f6d10ccbadb66bf57b295a84fa9825b41fecd"/>
    <w:p>
      <w:pPr>
        <w:pStyle w:val="Heading3"/>
      </w:pPr>
      <w:r>
        <w:t xml:space="preserve">9.4 DPI-resistance hardening</w:t>
      </w:r>
    </w:p>
    <w:p>
      <w:pPr>
        <w:pStyle w:val="FirstParagraph"/>
      </w:pPr>
      <w:r>
        <w:t xml:space="preserve">Extends the existing obfuscation ladder (plain UDP → LWO → MASQUE/QUIC → Shadowsocks → UDP-over-TCP,</w:t>
      </w:r>
      <w:r>
        <w:t xml:space="preserve"> 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§3.2) with enterprise-specific hardening: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per-org custom MASQUE SNI /</w:t>
      </w:r>
      <w:r>
        <w:t xml:space="preserve"> </w:t>
      </w:r>
      <w:r>
        <w:t xml:space="preserve">domain-fronting profiles so an enterprise's traffic can mimic a specific, operator-chosen web</w:t>
      </w:r>
      <w:r>
        <w:t xml:space="preserve"> </w:t>
      </w:r>
      <w:r>
        <w:t xml:space="preserve">property rather than a generic default;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scheduled automatic rotation of the edge's MASQUE</w:t>
      </w:r>
      <w:r>
        <w:t xml:space="preserve"> </w:t>
      </w:r>
      <w:r>
        <w:t xml:space="preserve">TLS fingerprint/SNI set, reducing the window a censor's DPI signature has to become effective;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DAITA (already specified for Phase 2,</w:t>
      </w:r>
      <w:r>
        <w:t xml:space="preserve"> </w:t>
      </w:r>
      <w:r>
        <w:rPr>
          <w:rStyle w:val="VerbatimChar"/>
        </w:rPr>
        <w:t xml:space="preserve">v02-data-plane/daita.md</w:t>
      </w:r>
      <w:r>
        <w:t xml:space="preserve">) becomes</w:t>
      </w:r>
      <w:r>
        <w:t xml:space="preserve"> </w:t>
      </w:r>
      <w:r>
        <w:rPr>
          <w:b/>
          <w:bCs/>
        </w:rPr>
        <w:t xml:space="preserve">default-on</w:t>
      </w:r>
      <w:r>
        <w:t xml:space="preserve"> </w:t>
      </w:r>
      <w:r>
        <w:t xml:space="preserve">for the enterprise tier rather than opt-in, since enterprise buyers in censorship-affected regions</w:t>
      </w:r>
      <w:r>
        <w:t xml:space="preserve"> </w:t>
      </w:r>
      <w:r>
        <w:t xml:space="preserve">are exactly the customers most likely to need constant-size/cover-traffic shaping.</w:t>
      </w:r>
    </w:p>
    <w:bookmarkEnd w:id="61"/>
    <w:bookmarkStart w:id="62" w:name="Xc704f5e6aa67080d222e09cc002cb05e587af1c"/>
    <w:p>
      <w:pPr>
        <w:pStyle w:val="Heading3"/>
      </w:pPr>
      <w:r>
        <w:t xml:space="preserve">9.5 Redundant transport failover, hardened</w:t>
      </w:r>
    </w:p>
    <w:p>
      <w:pPr>
        <w:pStyle w:val="FirstParagraph"/>
      </w:pPr>
      <w:r>
        <w:t xml:space="preserve">The existing auto-escalation ladder already handles automatic MASQUE↔WireGuard↔Shadowsocks</w:t>
      </w:r>
      <w:r>
        <w:t xml:space="preserve"> </w:t>
      </w:r>
      <w:r>
        <w:t xml:space="preserve">fallback (</w:t>
      </w:r>
      <w:r>
        <w:rPr>
          <w:rStyle w:val="VerbatimChar"/>
        </w:rPr>
        <w:t xml:space="preserve">04_ARCH</w:t>
      </w:r>
      <w:r>
        <w:t xml:space="preserve"> </w:t>
      </w:r>
      <w:r>
        <w:t xml:space="preserve">§3.2, and</w:t>
      </w:r>
      <w:r>
        <w:t xml:space="preserve"> </w:t>
      </w:r>
      <w:r>
        <w:rPr>
          <w:rStyle w:val="VerbatimChar"/>
        </w:rPr>
        <w:t xml:space="preserve">mvp/final/08-phase2-parity-wbs.md</w:t>
      </w:r>
      <w:r>
        <w:t xml:space="preserve">'s "per-network memory +</w:t>
      </w:r>
      <w:r>
        <w:t xml:space="preserve"> </w:t>
      </w:r>
      <w:r>
        <w:t xml:space="preserve">regional priors" enhancement). Phase 3 adds</w:t>
      </w:r>
      <w:r>
        <w:t xml:space="preserve"> </w:t>
      </w:r>
      <w:r>
        <w:rPr>
          <w:b/>
          <w:bCs/>
        </w:rPr>
        <w:t xml:space="preserve">enterprise-configurable fallback policy</w:t>
      </w:r>
      <w:r>
        <w:t xml:space="preserve">: a</w:t>
      </w:r>
      <w:r>
        <w:t xml:space="preserve"> </w:t>
      </w:r>
      <w:r>
        <w:t xml:space="preserve">compliance-sensitive org can pin a specific transport (e.g. "MASQUE only, never silently fall</w:t>
      </w:r>
      <w:r>
        <w:t xml:space="preserve"> </w:t>
      </w:r>
      <w:r>
        <w:t xml:space="preserve">back to a less-obfuscated transport") and receive an</w:t>
      </w:r>
      <w:r>
        <w:t xml:space="preserve"> </w:t>
      </w:r>
      <w:r>
        <w:rPr>
          <w:b/>
          <w:bCs/>
        </w:rPr>
        <w:t xml:space="preserve">alert</w:t>
      </w:r>
      <w:r>
        <w:t xml:space="preserve"> </w:t>
      </w:r>
      <w:r>
        <w:t xml:space="preserve">instead of a silent escalation —</w:t>
      </w:r>
      <w:r>
        <w:t xml:space="preserve"> </w:t>
      </w:r>
      <w:r>
        <w:t xml:space="preserve">because for some regulated enterprises a loud failure that gets a human's attention is strictly</w:t>
      </w:r>
      <w:r>
        <w:t xml:space="preserve"> </w:t>
      </w:r>
      <w:r>
        <w:t xml:space="preserve">preferable to a silent downgrade in obfuscation posture.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24f48803d13b9f8fd43bb30ae8d5bc1fe43bb01"/>
    <w:p>
      <w:pPr>
        <w:pStyle w:val="Heading2"/>
      </w:pPr>
      <w:r>
        <w:t xml:space="preserve">10. Phased task/subtask WBS</w:t>
      </w:r>
    </w:p>
    <w:bookmarkStart w:id="64" w:name="X253aaefdbd32a9e0e865ab1e243fa26bd8e2039"/>
    <w:p>
      <w:pPr>
        <w:pStyle w:val="Heading3"/>
      </w:pPr>
      <w:r>
        <w:t xml:space="preserve">10.1 ID namespace and field dictionary</w:t>
      </w:r>
    </w:p>
    <w:p>
      <w:pPr>
        <w:pStyle w:val="FirstParagraph"/>
      </w:pPr>
      <w:r>
        <w:t xml:space="preserve">Mirrors the schema used in</w:t>
      </w:r>
      <w:r>
        <w:t xml:space="preserve"> </w:t>
      </w:r>
      <w:r>
        <w:rPr>
          <w:rStyle w:val="VerbatimChar"/>
        </w:rPr>
        <w:t xml:space="preserve">mvp/final/06-phase0-spike-wbs.md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, with a</w:t>
      </w:r>
      <w:r>
        <w:t xml:space="preserve"> </w:t>
      </w:r>
      <w:r>
        <w:rPr>
          <w:b/>
          <w:bCs/>
        </w:rPr>
        <w:t xml:space="preserve">distinct ID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HVPN-ENT-NNN</w:t>
      </w:r>
      <w:r>
        <w:t xml:space="preserve">, epics</w:t>
      </w:r>
      <w:r>
        <w:t xml:space="preserve"> </w:t>
      </w:r>
      <w:r>
        <w:rPr>
          <w:rStyle w:val="VerbatimChar"/>
        </w:rPr>
        <w:t xml:space="preserve">HVPN-ENT-E3n</w:t>
      </w:r>
      <w:r>
        <w:t xml:space="preserve">,</w:t>
      </w:r>
      <w:r>
        <w:t xml:space="preserve"> </w:t>
      </w:r>
      <w:r>
        <w:t xml:space="preserve">gates</w:t>
      </w:r>
      <w:r>
        <w:t xml:space="preserve"> </w:t>
      </w:r>
      <w:r>
        <w:rPr>
          <w:rStyle w:val="VerbatimChar"/>
        </w:rPr>
        <w:t xml:space="preserve">G30</w:t>
      </w:r>
      <w:r>
        <w:t xml:space="preserve">–</w:t>
      </w:r>
      <w:r>
        <w:rPr>
          <w:rStyle w:val="VerbatimChar"/>
        </w:rPr>
        <w:t xml:space="preserve">G39</w:t>
      </w:r>
      <w:r>
        <w:t xml:space="preserve">) to avoid collision with the existing</w:t>
      </w:r>
      <w:r>
        <w:t xml:space="preserve"> </w:t>
      </w:r>
      <w:r>
        <w:rPr>
          <w:rStyle w:val="VerbatimChar"/>
        </w:rPr>
        <w:t xml:space="preserve">HVPN-P3-NNN</w:t>
      </w:r>
      <w:r>
        <w:t xml:space="preserve">/</w:t>
      </w:r>
      <w:r>
        <w:rPr>
          <w:rStyle w:val="VerbatimChar"/>
        </w:rPr>
        <w:t xml:space="preserve">G20</w:t>
      </w:r>
      <w:r>
        <w:t xml:space="preserve">–</w:t>
      </w:r>
      <w:r>
        <w:rPr>
          <w:rStyle w:val="VerbatimChar"/>
        </w:rPr>
        <w:t xml:space="preserve">G26</w:t>
      </w:r>
      <w:r>
        <w:t xml:space="preserve"> </w:t>
      </w:r>
      <w:r>
        <w:t xml:space="preserve">rows from the</w:t>
      </w:r>
      <w:r>
        <w:t xml:space="preserve"> </w:t>
      </w:r>
      <w:r>
        <w:t xml:space="preserve">"Extended Reach" WBS (see the naming-collision note at the top of this document). Every row is</w:t>
      </w:r>
      <w:r>
        <w:t xml:space="preserve"> </w:t>
      </w:r>
      <w:r>
        <w:rPr>
          <w:rStyle w:val="VerbatimChar"/>
        </w:rPr>
        <w:t xml:space="preserve">§11.4.93</w:t>
      </w:r>
      <w:r>
        <w:t xml:space="preserve">-DB-ready (same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/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table shape as the existing WBS documents — not</w:t>
      </w:r>
      <w:r>
        <w:t xml:space="preserve"> </w:t>
      </w:r>
      <w:r>
        <w:t xml:space="preserve">repeated here for brevity; see</w:t>
      </w:r>
      <w:r>
        <w:t xml:space="preserve"> </w:t>
      </w: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§3 for the canonical DDL).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HVPN-ENT-NNN[.k]</w:t>
            </w:r>
            <w:r>
              <w:t xml:space="preserve">, stable, monotonic, never reused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owning epic</w:t>
            </w:r>
            <w:r>
              <w:t xml:space="preserve"> </w:t>
            </w:r>
            <w:r>
              <w:rPr>
                <w:rStyle w:val="VerbatimChar"/>
              </w:rPr>
              <w:t xml:space="preserve">HVPN-ENT-E3n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which of</w:t>
            </w:r>
            <w:r>
              <w:t xml:space="preserve"> </w:t>
            </w:r>
            <w:r>
              <w:rPr>
                <w:rStyle w:val="VerbatimChar"/>
              </w:rPr>
              <w:t xml:space="preserve">G30</w:t>
            </w:r>
            <w:r>
              <w:t xml:space="preserve">–</w:t>
            </w:r>
            <w:r>
              <w:rPr>
                <w:rStyle w:val="VerbatimChar"/>
              </w:rPr>
              <w:t xml:space="preserve">G39</w:t>
            </w:r>
            <w:r>
              <w:t xml:space="preserve"> </w:t>
            </w:r>
            <w:r>
              <w:t xml:space="preserve">this advances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depends_on</w:t>
            </w:r>
          </w:p>
        </w:tc>
        <w:tc>
          <w:tcPr/>
          <w:p>
            <w:pPr>
              <w:pStyle w:val="Compact"/>
            </w:pPr>
            <w:r>
              <w:t xml:space="preserve">upstream ids that must be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falsifiable, evidence-based PASS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est_effort</w:t>
            </w:r>
          </w:p>
        </w:tc>
        <w:tc>
          <w:tcPr/>
          <w:p>
            <w:pPr>
              <w:pStyle w:val="Compact"/>
            </w:pPr>
            <w:r>
              <w:t xml:space="preserve">engineer-days, wide error bars, not a calendar commitment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test_types</w:t>
            </w:r>
          </w:p>
        </w:tc>
        <w:tc>
          <w:tcPr/>
          <w:p>
            <w:pPr>
              <w:pStyle w:val="Compact"/>
            </w:pPr>
            <w:r>
              <w:t xml:space="preserve">§11.4.169 closed-set codes (UNIT/INT/E2E/FA/SEC/PERF/CHAOS/STRESS/UI/UX/REC/CHAL, as in the existing WBS docs)</w:t>
            </w:r>
          </w:p>
        </w:tc>
      </w:tr>
    </w:tbl>
    <w:bookmarkEnd w:id="64"/>
    <w:bookmarkStart w:id="68" w:name="X1b808c032ac4f3230967904de63391b41397d92"/>
    <w:p>
      <w:pPr>
        <w:pStyle w:val="Heading3"/>
      </w:pPr>
      <w:r>
        <w:t xml:space="preserve">10.2 Gates G30–G39</w:t>
      </w:r>
    </w:p>
    <w:p>
      <w:pPr>
        <w:pStyle w:val="FirstParagraph"/>
      </w:pPr>
      <w:r>
        <w:drawing>
          <wp:inline>
            <wp:extent cx="5334000" cy="3102428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/tmp/.private/milosvasic/tmp.tuhsSqld4N/img/diagram_005_3e2e948d9b9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Xe1d2b8478d2f228fa675035d1e15df72c8e5efc"/>
    <w:p>
      <w:pPr>
        <w:pStyle w:val="Heading3"/>
      </w:pPr>
      <w:r>
        <w:t xml:space="preserve">10.3 Epics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HVPN-ENT-E30</w:t>
      </w:r>
      <w:r>
        <w:rPr>
          <w:b/>
          <w:bCs/>
        </w:rPr>
        <w:t xml:space="preserve"> </w:t>
      </w:r>
      <w:r>
        <w:rPr>
          <w:b/>
          <w:bCs/>
        </w:rPr>
        <w:t xml:space="preserve">— Organizations, teams, and permission-based RBAC</w:t>
      </w:r>
      <w:r>
        <w:t xml:space="preserve"> </w:t>
      </w:r>
      <w:r>
        <w:rPr>
          <w:rStyle w:val="VerbatimChar"/>
        </w:rPr>
        <w:t xml:space="preserve">epic · module: helix-go/identity,store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G30</w:t>
      </w:r>
      <w:r>
        <w:t xml:space="preserve">. Delivers §3 in full.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HVPN-ENT-300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organizations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teams</w:t>
      </w:r>
      <w:r>
        <w:rPr>
          <w:b/>
          <w:bCs/>
        </w:rPr>
        <w:t xml:space="preserve"> </w:t>
      </w:r>
      <w:r>
        <w:rPr>
          <w:b/>
          <w:bCs/>
        </w:rPr>
        <w:t xml:space="preserve">DDL + RLS + migration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M(5) · deps: — · tests: UNIT,INT,SEC</w:t>
      </w:r>
      <w:r>
        <w:t xml:space="preserve"> </w:t>
      </w:r>
      <w:r>
        <w:t xml:space="preserve">Acceptance: existing tenants with</w:t>
      </w:r>
      <w:r>
        <w:t xml:space="preserve"> </w:t>
      </w:r>
      <w:r>
        <w:rPr>
          <w:rStyle w:val="VerbatimChar"/>
        </w:rPr>
        <w:t xml:space="preserve">org_id IS NULL</w:t>
      </w:r>
      <w:r>
        <w:t xml:space="preserve"> </w:t>
      </w:r>
      <w:r>
        <w:t xml:space="preserve">behave byte-identically (regression suite from Phase 1 still green); a new org with 2 tenants shows correct rollup isolation (cross-tenant read denied by RLS, proven by a planted cross-org read attempt that must fail).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HVPN-ENT-301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role_bindings</w:t>
      </w:r>
      <w:r>
        <w:rPr>
          <w:b/>
          <w:bCs/>
        </w:rPr>
        <w:t xml:space="preserve"> </w:t>
      </w:r>
      <w:r>
        <w:rPr>
          <w:b/>
          <w:bCs/>
        </w:rPr>
        <w:t xml:space="preserve">+ built-in-role seed matching the old 3-value enum.</w:t>
      </w:r>
      <w:r>
        <w:t xml:space="preserve"> </w:t>
      </w:r>
      <w:r>
        <w:rPr>
          <w:rStyle w:val="VerbatimChar"/>
        </w:rPr>
        <w:t xml:space="preserve">L(7) · deps: HVPN-ENT-300 · tests: UNIT,INT,SEC</w:t>
      </w:r>
      <w:r>
        <w:t xml:space="preserve"> </w:t>
      </w:r>
      <w:r>
        <w:t xml:space="preserve">Acceptance: a Phase-1 tenant with zero RBAC configuration authorizes identically to the pre-Phase-3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enum (parity test suite diffing old vs. new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decisions across the full Phase-1 permission matrix).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HVPN-ENT-302 — SCIM 2.0 server (</w:t>
      </w:r>
      <w:r>
        <w:rPr>
          <w:rStyle w:val="VerbatimChar"/>
          <w:b/>
          <w:bCs/>
        </w:rPr>
        <w:t xml:space="preserve">/Users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/Groups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L(8) · deps: HVPN-ENT-301 · tests: UNIT,INT,E2E,SEC</w:t>
      </w:r>
      <w:r>
        <w:t xml:space="preserve"> </w:t>
      </w:r>
      <w:r>
        <w:t xml:space="preserve">Acceptance: an IdP-driven SCIM deprovision reaches device revoke-cascade in &lt; 1 s (reuses the existing Phase-1 revoke SLO test harness against a SCIM-triggered suspend).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HVPN-ENT-303 — G30 certification.</w:t>
      </w:r>
      <w:r>
        <w:t xml:space="preserve"> </w:t>
      </w:r>
      <w:r>
        <w:rPr>
          <w:rStyle w:val="VerbatimChar"/>
        </w:rPr>
        <w:t xml:space="preserve">S(3) · deps: HVPN-ENT-300..302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HVPN-ENT-E31</w:t>
      </w:r>
      <w:r>
        <w:rPr>
          <w:b/>
          <w:bCs/>
        </w:rPr>
        <w:t xml:space="preserve"> </w:t>
      </w:r>
      <w:r>
        <w:rPr>
          <w:b/>
          <w:bCs/>
        </w:rPr>
        <w:t xml:space="preserve">— Enterprise identity: SAML, device posture, conditional access</w:t>
      </w:r>
      <w:r>
        <w:t xml:space="preserve"> </w:t>
      </w:r>
      <w:r>
        <w:rPr>
          <w:rStyle w:val="VerbatimChar"/>
        </w:rPr>
        <w:t xml:space="preserve">epic · module: helix-go/identity,helix-core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HVPN-ENT-310 — SAML 2.0 provider type + JIT provisioning parity with OIDC.</w:t>
      </w:r>
      <w:r>
        <w:t xml:space="preserve"> </w:t>
      </w:r>
      <w:r>
        <w:rPr>
          <w:rStyle w:val="VerbatimChar"/>
        </w:rPr>
        <w:t xml:space="preserve">L(8) · deps: HVPN-ENT-301 · tests: UNIT,INT,E2E,SEC</w:t>
      </w:r>
      <w:r>
        <w:t xml:space="preserve"> </w:t>
      </w:r>
      <w:r>
        <w:t xml:space="preserve">Acceptance: a SAML login against a test IdP (e.g. a self-hosted SimpleSAMLphp/Keycloak-SAML instance) JIT-provisions a user with the correct team/role mapping; captured login transcript.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HVPN-ENT-311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DevicePosture</w:t>
      </w:r>
      <w:r>
        <w:rPr>
          <w:b/>
          <w:bCs/>
        </w:rPr>
        <w:t xml:space="preserve"> </w:t>
      </w:r>
      <w:r>
        <w:rPr>
          <w:b/>
          <w:bCs/>
        </w:rPr>
        <w:t xml:space="preserve">protobuf field + posture-policy evaluation in the coordinator.</w:t>
      </w:r>
      <w:r>
        <w:t xml:space="preserve"> </w:t>
      </w:r>
      <w:r>
        <w:rPr>
          <w:rStyle w:val="VerbatimChar"/>
        </w:rPr>
        <w:t xml:space="preserve">M(6) · deps: HVPN-ENT-310 · tests: UNIT,INT,E2E</w:t>
      </w:r>
      <w:r>
        <w:t xml:space="preserve"> </w:t>
      </w:r>
      <w:r>
        <w:t xml:space="preserve">Acceptance: a device reporting</w:t>
      </w:r>
      <w:r>
        <w:t xml:space="preserve"> </w:t>
      </w:r>
      <w:r>
        <w:rPr>
          <w:rStyle w:val="VerbatimChar"/>
        </w:rPr>
        <w:t xml:space="preserve">jailbroken_or_rooted=true</w:t>
      </w:r>
      <w:r>
        <w:t xml:space="preserve"> </w:t>
      </w:r>
      <w:r>
        <w:t xml:space="preserve">against a tenant policy denying that posture receives a restricted/denied network map, proven by a captured</w:t>
      </w:r>
      <w:r>
        <w:t xml:space="preserve"> </w:t>
      </w:r>
      <w:r>
        <w:rPr>
          <w:rStyle w:val="VerbatimChar"/>
        </w:rPr>
        <w:t xml:space="preserve">NetworkMapEvent</w:t>
      </w:r>
      <w:r>
        <w:t xml:space="preserve"> </w:t>
      </w:r>
      <w:r>
        <w:t xml:space="preserve">diff vs. a compliant device.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HVPN-ENT-312 — Conditional-access Spec extension (IdP-group + geo + posture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M(5) · deps: HVPN-ENT-311,HVPN-ENT-E33-300 · tests: UNIT,INT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HVPN-ENT-313 — G31 certification.</w:t>
      </w:r>
      <w:r>
        <w:t xml:space="preserve"> </w:t>
      </w:r>
      <w:r>
        <w:rPr>
          <w:rStyle w:val="VerbatimChar"/>
        </w:rPr>
        <w:t xml:space="preserve">S(3) · deps: HVPN-ENT-310..312 · tests: E2E,FA,CHAL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HVPN-ENT-E32</w:t>
      </w:r>
      <w:r>
        <w:rPr>
          <w:b/>
          <w:bCs/>
        </w:rPr>
        <w:t xml:space="preserve"> </w:t>
      </w:r>
      <w:r>
        <w:rPr>
          <w:b/>
          <w:bCs/>
        </w:rPr>
        <w:t xml:space="preserve">— Multi-region HA hardening</w:t>
      </w:r>
      <w:r>
        <w:t xml:space="preserve"> </w:t>
      </w:r>
      <w:r>
        <w:rPr>
          <w:rStyle w:val="VerbatimChar"/>
        </w:rPr>
        <w:t xml:space="preserve">epic · module: helix-go/coordinator,deploy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regions</w:t>
      </w:r>
      <w:r>
        <w:rPr>
          <w:b/>
          <w:bCs/>
        </w:rPr>
        <w:t xml:space="preserve"> </w:t>
      </w:r>
      <w:r>
        <w:rPr>
          <w:b/>
          <w:bCs/>
        </w:rPr>
        <w:t xml:space="preserve">table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GatewayInfo</w:t>
      </w:r>
      <w:r>
        <w:rPr>
          <w:b/>
          <w:bCs/>
        </w:rPr>
        <w:t xml:space="preserve"> </w:t>
      </w:r>
      <w:r>
        <w:rPr>
          <w:b/>
          <w:bCs/>
        </w:rPr>
        <w:t xml:space="preserve">resolution from region data.</w:t>
      </w:r>
      <w:r>
        <w:t xml:space="preserve"> </w:t>
      </w:r>
      <w:r>
        <w:rPr>
          <w:rStyle w:val="VerbatimChar"/>
        </w:rPr>
        <w:t xml:space="preserve">M(5) · deps: — · tests: UNIT,INT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HVPN-ENT-321 — Latency-biased gateway selection (resolves D-GW-SELECT option c for enterprise).</w:t>
      </w:r>
      <w:r>
        <w:t xml:space="preserve"> </w:t>
      </w:r>
      <w:r>
        <w:rPr>
          <w:rStyle w:val="VerbatimChar"/>
        </w:rPr>
        <w:t xml:space="preserve">L(7) · deps: HVPN-ENT-320 · tests: UNIT,INT,PERF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HVPN-ENT-322 — Postgres read-replica routing for hydration + billing reads (resolves U2).</w:t>
      </w:r>
      <w:r>
        <w:t xml:space="preserve"> </w:t>
      </w:r>
      <w:r>
        <w:rPr>
          <w:rStyle w:val="VerbatimChar"/>
        </w:rPr>
        <w:t xml:space="preserve">M(6) · deps: HVPN-ENT-320 · tests: UNIT,INT,PERF</w:t>
      </w:r>
      <w:r>
        <w:t xml:space="preserve"> </w:t>
      </w:r>
      <w:r>
        <w:t xml:space="preserve">Acceptance: policy-compile snapshot reads are proven (via a query-source assertion in the integration test) to NEVER hit a replica; hydration/billing reads are proven to use the replica under normal operation.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HVPN-ENT-323 — NATS JetStream R3 clustering + cross-region mirror relay (resolves U3).</w:t>
      </w:r>
      <w:r>
        <w:t xml:space="preserve"> </w:t>
      </w:r>
      <w:r>
        <w:rPr>
          <w:rStyle w:val="VerbatimChar"/>
        </w:rPr>
        <w:t xml:space="preserve">L(8) · deps: HVPN-ENT-320 · tests: UNIT,INT,CHAOS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HVPN-ENT-324 — Automated region-failover runbook + chaos test.</w:t>
      </w:r>
      <w:r>
        <w:t xml:space="preserve"> </w:t>
      </w:r>
      <w:r>
        <w:rPr>
          <w:rStyle w:val="VerbatimChar"/>
        </w:rPr>
        <w:t xml:space="preserve">L(8) · deps: HVPN-ENT-321,HVPN-ENT-322,HVPN-ENT-323 · tests: CHAOS,STRESS,REC</w:t>
      </w:r>
      <w:r>
        <w:t xml:space="preserve"> </w:t>
      </w:r>
      <w:r>
        <w:t xml:space="preserve">Acceptance: a chaos test kills region A's edge + coordinator replicas entirely; clients re-home to region B within the target RTO (§5.6 table); captured before/after connectivity transcript, zero data-plane packet-content loss claim (only convergence-pause per the honest §6 semantics in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HVPN-ENT-325 — Zero-downtime rolling upgrade proof (protocol-version field).</w:t>
      </w:r>
      <w:r>
        <w:t xml:space="preserve"> </w:t>
      </w:r>
      <w:r>
        <w:rPr>
          <w:rStyle w:val="VerbatimChar"/>
        </w:rPr>
        <w:t xml:space="preserve">M(5) · deps: HVPN-ENT-320 · tests: INT,E2E,CHAOS</w:t>
      </w:r>
      <w:r>
        <w:t xml:space="preserve"> </w:t>
      </w:r>
      <w:r>
        <w:t xml:space="preserve">Acceptance: a rolling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update runs while agents are connected; zero forced disconnects, captured connection-continuity transcript across the rollout window.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HVPN-ENT-326 — G32 certification.</w:t>
      </w:r>
      <w:r>
        <w:t xml:space="preserve"> </w:t>
      </w:r>
      <w:r>
        <w:rPr>
          <w:rStyle w:val="VerbatimChar"/>
        </w:rPr>
        <w:t xml:space="preserve">S(3) · deps: HVPN-ENT-320..325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HVPN-ENT-E33</w:t>
      </w:r>
      <w:r>
        <w:rPr>
          <w:b/>
          <w:bCs/>
        </w:rPr>
        <w:t xml:space="preserve"> </w:t>
      </w:r>
      <w:r>
        <w:rPr>
          <w:b/>
          <w:bCs/>
        </w:rPr>
        <w:t xml:space="preserve">— Advanced policy engine</w:t>
      </w:r>
      <w:r>
        <w:t xml:space="preserve"> </w:t>
      </w:r>
      <w:r>
        <w:rPr>
          <w:rStyle w:val="VerbatimChar"/>
        </w:rPr>
        <w:t xml:space="preserve">epic · module: helix-go/policy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G33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HVPN-ENT-330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evalTime</w:t>
      </w:r>
      <w:r>
        <w:rPr>
          <w:b/>
          <w:bCs/>
        </w:rPr>
        <w:t xml:space="preserve"> </w:t>
      </w:r>
      <w:r>
        <w:rPr>
          <w:b/>
          <w:bCs/>
        </w:rPr>
        <w:t xml:space="preserve">compiler extension, purity-preserving.</w:t>
      </w:r>
      <w:r>
        <w:t xml:space="preserve"> </w:t>
      </w:r>
      <w:r>
        <w:rPr>
          <w:rStyle w:val="VerbatimChar"/>
        </w:rPr>
        <w:t xml:space="preserve">L(8) · deps: — · tests: UNIT,PERF</w:t>
      </w:r>
      <w:r>
        <w:t xml:space="preserve"> </w:t>
      </w:r>
      <w:r>
        <w:t xml:space="preserve">Acceptance: a property test asserts</w:t>
      </w:r>
      <w:r>
        <w:t xml:space="preserve"> </w:t>
      </w:r>
      <w:r>
        <w:rPr>
          <w:rStyle w:val="VerbatimChar"/>
        </w:rPr>
        <w:t xml:space="preserve">Compile(t, spec, graph, evalTime)</w:t>
      </w:r>
      <w:r>
        <w:t xml:space="preserve"> </w:t>
      </w:r>
      <w:r>
        <w:t xml:space="preserve">is byte-identical across repeated calls with identical inputs (P2 preserved) and differs ONLY when</w:t>
      </w:r>
      <w:r>
        <w:t xml:space="preserve"> </w:t>
      </w:r>
      <w:r>
        <w:rPr>
          <w:rStyle w:val="VerbatimChar"/>
        </w:rPr>
        <w:t xml:space="preserve">evalTime</w:t>
      </w:r>
      <w:r>
        <w:t xml:space="preserve"> </w:t>
      </w:r>
      <w:r>
        <w:t xml:space="preserve">crosses a declared window boundary.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HVPN-ENT-331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AppSelector</w:t>
      </w:r>
      <w:r>
        <w:rPr>
          <w:b/>
          <w:bCs/>
        </w:rPr>
        <w:t xml:space="preserve"> </w:t>
      </w:r>
      <w:r>
        <w:rPr>
          <w:b/>
          <w:bCs/>
        </w:rPr>
        <w:t xml:space="preserve">+ org-level policy templates.</w:t>
      </w:r>
      <w:r>
        <w:t xml:space="preserve"> </w:t>
      </w:r>
      <w:r>
        <w:rPr>
          <w:rStyle w:val="VerbatimChar"/>
        </w:rPr>
        <w:t xml:space="preserve">M(6) · deps: HVPN-ENT-330 · tests: UNIT,INT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HVPN-ENT-332 — Destination-category egress lists (DLP-lite, S6-compatible).</w:t>
      </w:r>
      <w:r>
        <w:t xml:space="preserve"> </w:t>
      </w:r>
      <w:r>
        <w:rPr>
          <w:rStyle w:val="VerbatimChar"/>
        </w:rPr>
        <w:t xml:space="preserve">M(6) · deps: HVPN-ENT-330 · tests: UNIT,INT,SEC</w:t>
      </w:r>
      <w:r>
        <w:t xml:space="preserve"> </w:t>
      </w:r>
      <w:r>
        <w:t xml:space="preserve">Acceptance: a category-blocked destination is denied; the schema-lint from</w:t>
      </w:r>
      <w:r>
        <w:t xml:space="preserve"> </w:t>
      </w:r>
      <w:r>
        <w:rPr>
          <w:rStyle w:val="VerbatimChar"/>
        </w:rPr>
        <w:t xml:space="preserve">audit-and-compliance.md</w:t>
      </w:r>
      <w:r>
        <w:t xml:space="preserve"> </w:t>
      </w:r>
      <w:r>
        <w:t xml:space="preserve">still passes (no new flow-shaped table introduced) — proven by re-running that lint against this feature's migration.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HVPN-ENT-333 — SIEM export (CEF/Syslog) for policy + advisory events.</w:t>
      </w:r>
      <w:r>
        <w:t xml:space="preserve"> </w:t>
      </w:r>
      <w:r>
        <w:rPr>
          <w:rStyle w:val="VerbatimChar"/>
        </w:rPr>
        <w:t xml:space="preserve">M(5) · deps: HVPN-ENT-330 · tests: UNIT,INT,SEC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HVPN-ENT-334 — G33 certification.</w:t>
      </w:r>
      <w:r>
        <w:t xml:space="preserve"> </w:t>
      </w:r>
      <w:r>
        <w:rPr>
          <w:rStyle w:val="VerbatimChar"/>
        </w:rPr>
        <w:t xml:space="preserve">S(3) · deps: HVPN-ENT-330..333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HVPN-ENT-E34</w:t>
      </w:r>
      <w:r>
        <w:rPr>
          <w:b/>
          <w:bCs/>
        </w:rPr>
        <w:t xml:space="preserve"> </w:t>
      </w:r>
      <w:r>
        <w:rPr>
          <w:b/>
          <w:bCs/>
        </w:rPr>
        <w:t xml:space="preserve">— Compliance-grade observability</w:t>
      </w:r>
      <w:r>
        <w:t xml:space="preserve"> </w:t>
      </w:r>
      <w:r>
        <w:rPr>
          <w:rStyle w:val="VerbatimChar"/>
        </w:rPr>
        <w:t xml:space="preserve">epic · module: helix-go/telemetry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G34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HVPN-ENT-340 — OpenTelemetry tracing across control-plane operations.</w:t>
      </w:r>
      <w:r>
        <w:t xml:space="preserve"> </w:t>
      </w:r>
      <w:r>
        <w:rPr>
          <w:rStyle w:val="VerbatimChar"/>
        </w:rPr>
        <w:t xml:space="preserve">M(6) · deps: — · tests: UNIT,INT,PERF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HVPN-ENT-341 — Hash-chain tamper-evidence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audit_events</w:t>
      </w:r>
      <w:r>
        <w:rPr>
          <w:b/>
          <w:bCs/>
        </w:rPr>
        <w:t xml:space="preserve"> </w:t>
      </w:r>
      <w:r>
        <w:rPr>
          <w:b/>
          <w:bCs/>
        </w:rPr>
        <w:t xml:space="preserve">+ verification job.</w:t>
      </w:r>
      <w:r>
        <w:t xml:space="preserve"> </w:t>
      </w:r>
      <w:r>
        <w:rPr>
          <w:rStyle w:val="VerbatimChar"/>
        </w:rPr>
        <w:t xml:space="preserve">M(6) · deps: — · tests: UNIT,INT,SEC</w:t>
      </w:r>
      <w:r>
        <w:t xml:space="preserve"> </w:t>
      </w:r>
      <w:r>
        <w:t xml:space="preserve">Acceptance: a planted out-of-band row edit is detected by the verification job on its next run; captured alert + SIEM-exported tamper event.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HVPN-ENT-342 — SOC2/ISO27001/GDPR control-mapping doc + erasure runbook.</w:t>
      </w:r>
      <w:r>
        <w:t xml:space="preserve"> </w:t>
      </w:r>
      <w:r>
        <w:rPr>
          <w:rStyle w:val="VerbatimChar"/>
        </w:rPr>
        <w:t xml:space="preserve">M(5) · deps: HVPN-ENT-341 · tests: UNIT,FA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HVPN-ENT-343 — G34 certification.</w:t>
      </w:r>
      <w:r>
        <w:t xml:space="preserve"> </w:t>
      </w:r>
      <w:r>
        <w:rPr>
          <w:rStyle w:val="VerbatimChar"/>
        </w:rPr>
        <w:t xml:space="preserve">S(3) · deps: HVPN-ENT-340..342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HVPN-ENT-E35</w:t>
      </w:r>
      <w:r>
        <w:rPr>
          <w:b/>
          <w:bCs/>
        </w:rPr>
        <w:t xml:space="preserve"> </w:t>
      </w:r>
      <w:r>
        <w:rPr>
          <w:b/>
          <w:bCs/>
        </w:rPr>
        <w:t xml:space="preserve">— Marketplace / billing</w:t>
      </w:r>
      <w:r>
        <w:t xml:space="preserve"> </w:t>
      </w:r>
      <w:r>
        <w:rPr>
          <w:rStyle w:val="VerbatimChar"/>
        </w:rPr>
        <w:t xml:space="preserve">epic · module: helix-go/billing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G35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HVPN-ENT-350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org_usage_rollup</w:t>
      </w:r>
      <w:r>
        <w:rPr>
          <w:b/>
          <w:bCs/>
        </w:rPr>
        <w:t xml:space="preserve"> </w:t>
      </w:r>
      <w:r>
        <w:rPr>
          <w:b/>
          <w:bCs/>
        </w:rPr>
        <w:t xml:space="preserve">view + Console billing dashboard.</w:t>
      </w:r>
      <w:r>
        <w:t xml:space="preserve"> </w:t>
      </w:r>
      <w:r>
        <w:rPr>
          <w:rStyle w:val="VerbatimChar"/>
        </w:rPr>
        <w:t xml:space="preserve">M(5) · deps: HVPN-ENT-300 · tests: UNIT,INT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HVPN-ENT-351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UsageReporter</w:t>
      </w:r>
      <w:r>
        <w:rPr>
          <w:b/>
          <w:bCs/>
        </w:rPr>
        <w:t xml:space="preserve"> </w:t>
      </w:r>
      <w:r>
        <w:rPr>
          <w:b/>
          <w:bCs/>
        </w:rPr>
        <w:t xml:space="preserve">daily job + pluggable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PaymentAdapter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L(7) · deps: HVPN-ENT-350 · tests: UNIT,INT,SEC</w:t>
      </w:r>
      <w:r>
        <w:t xml:space="preserve"> </w:t>
      </w:r>
      <w:r>
        <w:t xml:space="preserve">Acceptance: billing stays OFF (zero adapter calls, zero behavioral change) when a tenant has no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row — regression-tested against the Phase-1/2 self-host baseline.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HVPN-ENT-352 — Reseller (</w:t>
      </w:r>
      <w:r>
        <w:rPr>
          <w:rStyle w:val="VerbatimChar"/>
          <w:b/>
          <w:bCs/>
        </w:rPr>
        <w:t xml:space="preserve">parent_org_id</w:t>
      </w:r>
      <w:r>
        <w:rPr>
          <w:b/>
          <w:bCs/>
        </w:rPr>
        <w:t xml:space="preserve">) provisioning + scoped RBAC.</w:t>
      </w:r>
      <w:r>
        <w:t xml:space="preserve"> </w:t>
      </w:r>
      <w:r>
        <w:rPr>
          <w:rStyle w:val="VerbatimChar"/>
        </w:rPr>
        <w:t xml:space="preserve">M(6) · deps: HVPN-ENT-301,HVPN-ENT-350 · tests: UNIT,INT,SEC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HVPN-ENT-353 — G35 certification.</w:t>
      </w:r>
      <w:r>
        <w:t xml:space="preserve"> </w:t>
      </w:r>
      <w:r>
        <w:rPr>
          <w:rStyle w:val="VerbatimChar"/>
        </w:rPr>
        <w:t xml:space="preserve">S(3) · deps: HVPN-ENT-350..352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HVPN-ENT-E36</w:t>
      </w:r>
      <w:r>
        <w:rPr>
          <w:b/>
          <w:bCs/>
        </w:rPr>
        <w:t xml:space="preserve"> </w:t>
      </w:r>
      <w:r>
        <w:rPr>
          <w:b/>
          <w:bCs/>
        </w:rPr>
        <w:t xml:space="preserve">— Advanced networking</w:t>
      </w:r>
      <w:r>
        <w:t xml:space="preserve"> </w:t>
      </w:r>
      <w:r>
        <w:rPr>
          <w:rStyle w:val="VerbatimChar"/>
        </w:rPr>
        <w:t xml:space="preserve">epic · module: helix-go/policy,helix-edge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G36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HVPN-ENT-360 — Site-to-site Console workflow + cross-tenant grant object.</w:t>
      </w:r>
      <w:r>
        <w:t xml:space="preserve"> </w:t>
      </w:r>
      <w:r>
        <w:rPr>
          <w:rStyle w:val="VerbatimChar"/>
        </w:rPr>
        <w:t xml:space="preserve">M(6) · deps: HVPN-ENT-300 · tests: UNIT,INT,E2E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HVPN-ENT-361 — Dual-stack privacy-exit egress + native IPv6 LAN advertisement.</w:t>
      </w:r>
      <w:r>
        <w:t xml:space="preserve"> </w:t>
      </w:r>
      <w:r>
        <w:rPr>
          <w:rStyle w:val="VerbatimChar"/>
        </w:rPr>
        <w:t xml:space="preserve">M(6) · deps: — · tests: UNIT,INT,E2E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HVPN-ENT-362 — Per-tenant token-bucket QoS shaping at the edge.</w:t>
      </w:r>
      <w:r>
        <w:t xml:space="preserve"> </w:t>
      </w:r>
      <w:r>
        <w:rPr>
          <w:rStyle w:val="VerbatimChar"/>
        </w:rPr>
        <w:t xml:space="preserve">M(6) · deps: — · tests: UNIT,INT,PERF,STRESS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HVPN-ENT-363 — Per-org MASQUE SNI/fingerprint rotation + DAITA-default-on enterprise tier.</w:t>
      </w:r>
      <w:r>
        <w:t xml:space="preserve"> </w:t>
      </w:r>
      <w:r>
        <w:rPr>
          <w:rStyle w:val="VerbatimChar"/>
        </w:rPr>
        <w:t xml:space="preserve">L(7) · deps: — · tests: UNIT,INT,SEC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HVPN-ENT-364 — Pin-and-alert transport-fallback policy.</w:t>
      </w:r>
      <w:r>
        <w:t xml:space="preserve"> </w:t>
      </w:r>
      <w:r>
        <w:rPr>
          <w:rStyle w:val="VerbatimChar"/>
        </w:rPr>
        <w:t xml:space="preserve">M(5) · deps: — · tests: UNIT,INT,CHAOS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HVPN-ENT-365 — G36 certification.</w:t>
      </w:r>
      <w:r>
        <w:t xml:space="preserve"> </w:t>
      </w:r>
      <w:r>
        <w:rPr>
          <w:rStyle w:val="VerbatimChar"/>
        </w:rPr>
        <w:t xml:space="preserve">S(3) · deps: HVPN-ENT-360..364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HVPN-ENT-E37</w:t>
      </w:r>
      <w:r>
        <w:rPr>
          <w:b/>
          <w:bCs/>
        </w:rPr>
        <w:t xml:space="preserve"> </w:t>
      </w:r>
      <w:r>
        <w:rPr>
          <w:b/>
          <w:bCs/>
        </w:rPr>
        <w:t xml:space="preserve">— Phase-3 exit certification</w:t>
      </w:r>
      <w:r>
        <w:t xml:space="preserve"> </w:t>
      </w:r>
      <w:r>
        <w:rPr>
          <w:rStyle w:val="VerbatimChar"/>
        </w:rPr>
        <w:t xml:space="preserve">epic · module: —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G37</w:t>
      </w:r>
      <w:r>
        <w:t xml:space="preserve">. All prior gates green + a full-suite retest from the Phase-2 baseline</w:t>
      </w:r>
      <w:r>
        <w:t xml:space="preserve"> </w:t>
      </w:r>
      <w:r>
        <w:t xml:space="preserve">(constitution §11.4.40) + no S6/S7 (no-logging-as-code) regression proven by re-running the</w:t>
      </w:r>
      <w:r>
        <w:t xml:space="preserve"> </w:t>
      </w:r>
      <w:r>
        <w:t xml:space="preserve">existing schema-lint against the entire Phase-3 migration set in one pass.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3f8479b8ff354267442b4aae1195d2998eede8d"/>
    <w:p>
      <w:pPr>
        <w:pStyle w:val="Heading2"/>
      </w:pPr>
      <w:r>
        <w:t xml:space="preserve">11. Decision register (operator input needed)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Resolved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D-ENT-1</w:t>
            </w:r>
          </w:p>
        </w:tc>
        <w:tc>
          <w:tcPr/>
          <w:p>
            <w:pPr>
              <w:pStyle w:val="Compact"/>
            </w:pPr>
            <w:r>
              <w:t xml:space="preserve">Reconcile the two "Phase 3" labels (this doc vs.</w:t>
            </w:r>
            <w:r>
              <w:t xml:space="preserve"> </w:t>
            </w:r>
            <w:r>
              <w:rPr>
                <w:rStyle w:val="VerbatimChar"/>
              </w:rPr>
              <w:t xml:space="preserve">mvp/final/09-phase3-reach-wbs.md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(a) rename the existing platform-reach WBS to "Phase 2.5" or "Phase 2c"; (b) rename this document's scope to "Phase 4"; (c) keep both labeled "Phase 3" as parallel sub-tracks, cross-referenced (current state)</w:t>
            </w:r>
          </w:p>
        </w:tc>
        <w:tc>
          <w:tcPr/>
          <w:p>
            <w:pPr>
              <w:pStyle w:val="Compact"/>
            </w:pPr>
            <w:r>
              <w:t xml:space="preserve">(c) for now — see</w:t>
            </w:r>
            <w:r>
              <w:t xml:space="preserve"> </w:t>
            </w:r>
            <w:r>
              <w:rPr>
                <w:rStyle w:val="VerbatimChar"/>
              </w:rPr>
              <w:t xml:space="preserve">UNIFIED_PHASE_ROADMAP.md</w:t>
            </w:r>
            <w:r>
              <w:t xml:space="preserve"> </w:t>
            </w:r>
            <w:r>
              <w:t xml:space="preserve">§4 — but this is a genuine naming decision, not silently resolved</w:t>
            </w:r>
          </w:p>
        </w:tc>
        <w:tc>
          <w:tcPr/>
          <w:p>
            <w:pPr>
              <w:pStyle w:val="Compact"/>
            </w:pPr>
            <w:r>
              <w:t xml:space="preserve">operator, before the numbering is used in external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D-ENT-2</w:t>
            </w:r>
          </w:p>
        </w:tc>
        <w:tc>
          <w:tcPr/>
          <w:p>
            <w:pPr>
              <w:pStyle w:val="Compact"/>
            </w:pPr>
            <w:r>
              <w:t xml:space="preserve">Pricing for the tiers in §8.1</w:t>
            </w:r>
          </w:p>
        </w:tc>
        <w:tc>
          <w:tcPr/>
          <w:p>
            <w:pPr>
              <w:pStyle w:val="Compact"/>
            </w:pPr>
            <w:r>
              <w:t xml:space="preserve">exact $/tier, usage overage pricing</w:t>
            </w:r>
          </w:p>
        </w:tc>
        <w:tc>
          <w:tcPr/>
          <w:p>
            <w:pPr>
              <w:pStyle w:val="Compact"/>
            </w:pPr>
            <w:r>
              <w:t xml:space="preserve">not specified — business decision</w:t>
            </w:r>
          </w:p>
        </w:tc>
        <w:tc>
          <w:tcPr/>
          <w:p>
            <w:pPr>
              <w:pStyle w:val="Compact"/>
            </w:pPr>
            <w:r>
              <w:t xml:space="preserve">operator + go-to-market (cross-ref</w:t>
            </w:r>
            <w:r>
              <w:t xml:space="preserve"> </w:t>
            </w:r>
            <w:r>
              <w:rPr>
                <w:rStyle w:val="VerbatimChar"/>
              </w:rPr>
              <w:t xml:space="preserve">MVP_FINAL_GA_READINESS.md</w:t>
            </w:r>
            <w:r>
              <w:t xml:space="preserve"> </w:t>
            </w:r>
            <w:r>
              <w:t xml:space="preserve">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D-ENT-3</w:t>
            </w:r>
          </w:p>
        </w:tc>
        <w:tc>
          <w:tcPr/>
          <w:p>
            <w:pPr>
              <w:pStyle w:val="Compact"/>
            </w:pPr>
            <w:r>
              <w:t xml:space="preserve">Which compliance certification to pursue first (§7.3)</w:t>
            </w:r>
          </w:p>
        </w:tc>
        <w:tc>
          <w:tcPr/>
          <w:p>
            <w:pPr>
              <w:pStyle w:val="Compact"/>
            </w:pPr>
            <w:r>
              <w:t xml:space="preserve">SOC2 Type II first (common enterprise-buyer gate) vs. ISO 27001 first (common EU-buyer gate) vs. neither until customer-demanded</w:t>
            </w:r>
          </w:p>
        </w:tc>
        <w:tc>
          <w:tcPr/>
          <w:p>
            <w:pPr>
              <w:pStyle w:val="Compact"/>
            </w:pPr>
            <w:r>
              <w:t xml:space="preserve">not specified — depends on target market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D-ENT-4</w:t>
            </w:r>
          </w:p>
        </w:tc>
        <w:tc>
          <w:tcPr/>
          <w:p>
            <w:pPr>
              <w:pStyle w:val="Compact"/>
            </w:pPr>
            <w:r>
              <w:t xml:space="preserve">Whether an organization layer above tenant is needed at all for the initial enterprise launch, or whether it can be deferred (many enterprise buyers are a single tenant)</w:t>
            </w:r>
          </w:p>
        </w:tc>
        <w:tc>
          <w:tcPr/>
          <w:p>
            <w:pPr>
              <w:pStyle w:val="Compact"/>
            </w:pPr>
            <w:r>
              <w:t xml:space="preserve">ship §3.1's org layer in the first Phase-3 release vs. defer to a later Phase-3 increment, shipping RBAC/SSO/HA first</w:t>
            </w:r>
          </w:p>
        </w:tc>
        <w:tc>
          <w:tcPr/>
          <w:p>
            <w:pPr>
              <w:pStyle w:val="Compact"/>
            </w:pPr>
            <w:r>
              <w:t xml:space="preserve">ship RBAC+SSO+HA first (G31/G32/G33 have no dependency on G30's org layer beyond the shared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table); org/reseller layer (G30, G35) can trail if it de-risks the critical path</w:t>
            </w:r>
          </w:p>
        </w:tc>
        <w:tc>
          <w:tcPr/>
          <w:p>
            <w:pPr>
              <w:pStyle w:val="Compact"/>
            </w:pPr>
            <w:r>
              <w:t xml:space="preserve">operator, informs WBS sequencing in 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D-ENT-5</w:t>
            </w:r>
          </w:p>
        </w:tc>
        <w:tc>
          <w:tcPr/>
          <w:p>
            <w:pPr>
              <w:pStyle w:val="Compact"/>
            </w:pPr>
            <w:r>
              <w:t xml:space="preserve">DLP posture (§6.3) — confirm the "no payload inspection" boundary as final product positioning</w:t>
            </w:r>
          </w:p>
        </w:tc>
        <w:tc>
          <w:tcPr/>
          <w:p>
            <w:pPr>
              <w:pStyle w:val="Compact"/>
            </w:pPr>
            <w:r>
              <w:t xml:space="preserve">accept the metadata/category-only boundary vs. explicitly scope a separate, clearly-labeled non-HelixVPN-core CASB/DLP integration product</w:t>
            </w:r>
          </w:p>
        </w:tc>
        <w:tc>
          <w:tcPr/>
          <w:p>
            <w:pPr>
              <w:pStyle w:val="Compact"/>
            </w:pPr>
            <w:r>
              <w:t xml:space="preserve">recommend accepting the boundary — payload inspection contradicts the product's core privacy promise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D-ENT-6</w:t>
            </w:r>
          </w:p>
        </w:tc>
        <w:tc>
          <w:tcPr/>
          <w:p>
            <w:pPr>
              <w:pStyle w:val="Compact"/>
            </w:pPr>
            <w:r>
              <w:t xml:space="preserve">SLA numbers in §7.5</w:t>
            </w:r>
          </w:p>
        </w:tc>
        <w:tc>
          <w:tcPr/>
          <w:p>
            <w:pPr>
              <w:pStyle w:val="Compact"/>
            </w:pPr>
            <w:r>
              <w:t xml:space="preserve">exact percentages, credit/refund policy on breach</w:t>
            </w:r>
          </w:p>
        </w:tc>
        <w:tc>
          <w:tcPr/>
          <w:p>
            <w:pPr>
              <w:pStyle w:val="Compact"/>
            </w:pPr>
            <w:r>
              <w:t xml:space="preserve">not specified — business/legal decision</w:t>
            </w:r>
          </w:p>
        </w:tc>
        <w:tc>
          <w:tcPr/>
          <w:p>
            <w:pPr>
              <w:pStyle w:val="Compact"/>
            </w:pPr>
            <w:r>
              <w:t xml:space="preserve">operator (cross-ref</w:t>
            </w:r>
            <w:r>
              <w:t xml:space="preserve"> </w:t>
            </w:r>
            <w:r>
              <w:rPr>
                <w:rStyle w:val="VerbatimChar"/>
              </w:rPr>
              <w:t xml:space="preserve">MVP_FINAL_GA_READINESS.md</w:t>
            </w:r>
            <w:r>
              <w:t xml:space="preserve"> </w:t>
            </w:r>
            <w:r>
              <w:t xml:space="preserve">§2)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docs/research/mvp/final/SPECIFICATION.md</w:t>
      </w:r>
      <w:r>
        <w:t xml:space="preserve"> </w:t>
      </w:r>
      <w:r>
        <w:t xml:space="preserve">— architectural spine, non-negotiable principles, phase roadmap, decision register.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docs/research/mvp/04_VPN_CLD/HelixVPN-Architecture-Refined.md</w:t>
      </w:r>
      <w:r>
        <w:t xml:space="preserve"> </w:t>
      </w:r>
      <w:r>
        <w:t xml:space="preserve">— refined architecture (transports, control plane, security, deployment).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docs/research/mvp/final/09-phase3-reach-wbs.md</w:t>
      </w:r>
      <w:r>
        <w:t xml:space="preserve"> </w:t>
      </w:r>
      <w:r>
        <w:t xml:space="preserve">— the pre-existing "Phase 3 — Extended Reach" WBS (HarmonyOS/Aurora/WASM/billing-optional/audit/reproducible-builds); source of the naming-collision disclosure and the</w:t>
      </w:r>
      <w:r>
        <w:t xml:space="preserve"> </w:t>
      </w:r>
      <w:r>
        <w:rPr>
          <w:rStyle w:val="VerbatimChar"/>
        </w:rPr>
        <w:t xml:space="preserve">E24</w:t>
      </w:r>
      <w:r>
        <w:t xml:space="preserve"> </w:t>
      </w:r>
      <w:r>
        <w:t xml:space="preserve">billing schema this document extends.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docs/research/mvp/final/v06-deploy/ha-and-multiregion.md</w:t>
      </w:r>
      <w:r>
        <w:t xml:space="preserve"> </w:t>
      </w:r>
      <w:r>
        <w:t xml:space="preserve">— HA thesis, reference multi-region topology,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register (U2, U3) resolved in §5 above.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docs/research/mvp/final/v03-control-plane/svc-identity.md</w:t>
      </w:r>
      <w:r>
        <w:t xml:space="preserve"> </w:t>
      </w:r>
      <w:r>
        <w:t xml:space="preserve">— identity service interface,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enum, OIDC JIT-provisioning, extended in §3.3/§4.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docs/research/mvp/final/v03-control-plane/svc-policy.md</w:t>
      </w:r>
      <w:r>
        <w:t xml:space="preserve"> </w:t>
      </w:r>
      <w:r>
        <w:t xml:space="preserve">— policy compiler invariants P1–P8, extended in §6.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docs/research/mvp/final/v05-security/audit-and-compliance.md</w:t>
      </w:r>
      <w:r>
        <w:t xml:space="preserve"> </w:t>
      </w:r>
      <w:r>
        <w:t xml:space="preserve">— S6/S7 no-logging-as-code invariants,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schema, extended in §7.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docs/research/mvp2/README.md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docs/research/mvp2/MVP2_OVERVIEW.md</w:t>
      </w:r>
      <w:r>
        <w:t xml:space="preserve"> </w:t>
      </w:r>
      <w:r>
        <w:t xml:space="preserve">— Phase 2 client-suite platform matrix and scope (entry condition for this document).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docs/research/UNIFIED_PHASE_ROADMAP.md</w:t>
      </w:r>
      <w:r>
        <w:t xml:space="preserve"> </w:t>
      </w:r>
      <w:r>
        <w:t xml:space="preserve">— full phase reconciliation, read alongside this document.</w:t>
      </w:r>
    </w:p>
    <w:p>
      <w:pPr>
        <w:pStyle w:val="FirstParagraph"/>
      </w:pPr>
      <w:r>
        <w:rPr>
          <w:i/>
          <w:iCs/>
        </w:rPr>
        <w:t xml:space="preserve">End of Phase 3 (Enterprise &amp; Scale) specification.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Phase 3: Enterprise &amp; Scale (MVP3)</dc:title>
  <dc:creator/>
  <cp:keywords/>
  <dcterms:created xsi:type="dcterms:W3CDTF">2026-07-04T15:00:08Z</dcterms:created>
  <dcterms:modified xsi:type="dcterms:W3CDTF">2026-07-04T15:00:08Z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